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the Tri-River Regional 911 Governance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Executive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Tri-River Regional 911 Center's cybersecurity and privacy program and authorizes the resources and authority to run it. It names the program's executive sponsor, designates the cybersecurity and privacy lead, and confirms the Executive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Executive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Tri-River Regional 911 Governance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Executive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Raymond Osei, Information Security Analyst (part-time), Tri-River Regional 911 Center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program allocation of about $235,000, including the part-time Information Security Analyst, managed detection and SIEM, endpoint and email security across both centers, NG911 security integration, penetration testing, and training for 38 staff;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Executive Director oversees the program and this charter. Failure to carry out an assigned program responsibility is handled under the Agency's agency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Tri-River Regional 911 Governance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Executive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(Governance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Resolution 2026-03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Governance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