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tririver.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Executive 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Tri-River Regional 911 Center's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both physical centers: the NG911 core, the dual CAD systems, RMS, GIS, ALI, the radio and video subsystems, and all supporting endpoints.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partner public-safety systems reached only through governed external interconnections, which their owners administer.</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Tri-River Regional 911 Center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Executive Director approves the inventory, and it is reviewed at least quarterly.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Executive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Executive Director monitors compliance with this policy. Violations are handled under the Agency's the Center's personnel and progressive-discipline policy.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Executive Director. A request must state the control affected, the reason, any compensating measures, and an end date. Approved exceptions are recorded in the Risk Register and reviewed at least quarterly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Executive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policy as part of a formal program. The information security role maintains the inventory, the control-to-risk mapping, and the exception register, and reports policy status to leadership on a set schedule.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