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Picture 1"/>
            <wp:cNvGraphicFramePr>
              <a:graphicFrameLocks noChangeAspect="1"/>
            </wp:cNvGraphicFramePr>
            <a:graphic>
              <a:graphicData uri="http://schemas.openxmlformats.org/drawingml/2006/picture">
                <pic:pic>
                  <pic:nvPicPr>
                    <pic:cNvPr id="0" name="seal_hickory.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Cybersecurity Governance Charter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charter establishes the governance body that sets cybersecurity and privacy priorities for Tri-River Regional 911 Center, oversees the security program, and keeps it aligned with the center’s 9-1-1 mission and its legal obligations. As a regional center operating across two facilities, the program is overseen by a formal Cybersecurity Steering Committee and reports to the regional governing authority.</w:t>
      </w:r>
    </w:p>
    <w:p>
      <w:pPr>
        <w:pStyle w:val="Heading2"/>
        <w:spacing w:after="100" w:before="220"/>
      </w:pPr>
      <w:r>
        <w:rPr>
          <w:rFonts w:ascii="Aptos" w:cs="Aptos" w:eastAsia="Aptos" w:hAnsi="Aptos"/>
          <w:b/>
          <w:bCs/>
          <w:color w:val="1B3A5C"/>
          <w:sz w:val="26"/>
          <w:szCs w:val="26"/>
        </w:rPr>
        <w:t xml:space="preserve">Strategic Objectives</w:t>
      </w:r>
    </w:p>
    <w:p>
      <w:pPr>
        <w:pStyle w:val="ListParagraph"/>
        <w:numPr>
          <w:ilvl w:val="0"/>
          <w:numId w:val="2"/>
        </w:numPr>
        <w:spacing w:after="60"/>
      </w:pPr>
      <w:r>
        <w:rPr>
          <w:rFonts w:ascii="Aptos" w:cs="Aptos" w:eastAsia="Aptos" w:hAnsi="Aptos"/>
          <w:b w:val="false"/>
          <w:bCs w:val="false"/>
          <w:i w:val="false"/>
          <w:iCs w:val="false"/>
          <w:sz w:val="24"/>
          <w:szCs w:val="24"/>
        </w:rPr>
        <w:t xml:space="preserve">Protect the NG911 systems, integrations, and data the center uses to receive and dispatch 9-1-1 calls across both facilities.</w:t>
      </w:r>
    </w:p>
    <w:p>
      <w:pPr>
        <w:pStyle w:val="ListParagraph"/>
        <w:numPr>
          <w:ilvl w:val="0"/>
          <w:numId w:val="2"/>
        </w:numPr>
        <w:spacing w:after="60"/>
      </w:pPr>
      <w:r>
        <w:rPr>
          <w:rFonts w:ascii="Aptos" w:cs="Aptos" w:eastAsia="Aptos" w:hAnsi="Aptos"/>
          <w:b w:val="false"/>
          <w:bCs w:val="false"/>
          <w:i w:val="false"/>
          <w:iCs w:val="false"/>
          <w:sz w:val="24"/>
          <w:szCs w:val="24"/>
        </w:rPr>
        <w:t xml:space="preserve">Keep the security program matched to the center’s risk and its formal program-management commitments.</w:t>
      </w:r>
    </w:p>
    <w:p>
      <w:pPr>
        <w:pStyle w:val="ListParagraph"/>
        <w:numPr>
          <w:ilvl w:val="0"/>
          <w:numId w:val="2"/>
        </w:numPr>
        <w:spacing w:after="60"/>
      </w:pPr>
      <w:r>
        <w:rPr>
          <w:rFonts w:ascii="Aptos" w:cs="Aptos" w:eastAsia="Aptos" w:hAnsi="Aptos"/>
          <w:b w:val="false"/>
          <w:bCs w:val="false"/>
          <w:i w:val="false"/>
          <w:iCs w:val="false"/>
          <w:sz w:val="24"/>
          <w:szCs w:val="24"/>
        </w:rPr>
        <w:t xml:space="preserve">Meet the center’s CJIS, IDACS, and Indiana obligations.</w:t>
      </w:r>
    </w:p>
    <w:p>
      <w:pPr>
        <w:pStyle w:val="ListParagraph"/>
        <w:numPr>
          <w:ilvl w:val="0"/>
          <w:numId w:val="2"/>
        </w:numPr>
        <w:spacing w:after="60"/>
      </w:pPr>
      <w:r>
        <w:rPr>
          <w:rFonts w:ascii="Aptos" w:cs="Aptos" w:eastAsia="Aptos" w:hAnsi="Aptos"/>
          <w:b w:val="false"/>
          <w:bCs w:val="false"/>
          <w:i w:val="false"/>
          <w:iCs w:val="false"/>
          <w:sz w:val="24"/>
          <w:szCs w:val="24"/>
        </w:rPr>
        <w:t xml:space="preserve">Keep a named owner accountable for each part of the program and report posture to the governing authority.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the information security analyst, the IT manager, the operations managers for both facilities, and the staff who carry security duties.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center’s security priorities, policies, risk decisions, metrics, and reporting to the governing authority.</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day-to-day dispatch operations, which the committee oversees but does not run.</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Governance body: the Tri-River Regional 911 Center Cybersecurity Steering Committee named in this charter, reporting to the regional governing authority.</w:t>
      </w:r>
    </w:p>
    <w:p>
      <w:pPr>
        <w:pStyle w:val="Heading2"/>
        <w:spacing w:after="100" w:before="220"/>
      </w:pPr>
      <w:r>
        <w:rPr>
          <w:rFonts w:ascii="Aptos" w:cs="Aptos" w:eastAsia="Aptos" w:hAnsi="Aptos"/>
          <w:b/>
          <w:bCs/>
          <w:color w:val="1B3A5C"/>
          <w:sz w:val="26"/>
          <w:szCs w:val="26"/>
        </w:rPr>
        <w:t xml:space="preserve">4. Policy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maintains a Cybersecurity Steering Committee with the authority to set security and privacy priorities and to approve policies.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committee reviews security metrics, risk status, and incident reports each quarter and reports posture to the regional governing authority.</w:t>
      </w:r>
    </w:p>
    <w:p>
      <w:pPr>
        <w:pStyle w:val="ListParagraph"/>
        <w:numPr>
          <w:ilvl w:val="0"/>
          <w:numId w:val="3"/>
        </w:numPr>
        <w:spacing w:after="60"/>
      </w:pPr>
      <w:r>
        <w:rPr>
          <w:rFonts w:ascii="Aptos" w:cs="Aptos" w:eastAsia="Aptos" w:hAnsi="Aptos"/>
          <w:b w:val="false"/>
          <w:bCs w:val="false"/>
          <w:i w:val="false"/>
          <w:iCs w:val="false"/>
          <w:sz w:val="24"/>
          <w:szCs w:val="24"/>
        </w:rPr>
        <w:t xml:space="preserve">The committee confirms the program aligns with the center’s 9-1-1 goals and its legal and regulatory duties.</w:t>
      </w:r>
    </w:p>
    <w:p>
      <w:pPr>
        <w:pStyle w:val="ListParagraph"/>
        <w:numPr>
          <w:ilvl w:val="0"/>
          <w:numId w:val="3"/>
        </w:numPr>
        <w:spacing w:after="60"/>
      </w:pPr>
      <w:r>
        <w:rPr>
          <w:rFonts w:ascii="Aptos" w:cs="Aptos" w:eastAsia="Aptos" w:hAnsi="Aptos"/>
          <w:b w:val="false"/>
          <w:bCs w:val="false"/>
          <w:i w:val="false"/>
          <w:iCs w:val="false"/>
          <w:sz w:val="24"/>
          <w:szCs w:val="24"/>
        </w:rPr>
        <w:t xml:space="preserve">The Director serves as executive sponsor, accountable for the program and its budget.</w:t>
      </w:r>
    </w:p>
    <w:p>
      <w:pPr>
        <w:pStyle w:val="Heading2"/>
        <w:spacing w:after="100" w:before="220"/>
      </w:pPr>
      <w:r>
        <w:rPr>
          <w:rFonts w:ascii="Aptos" w:cs="Aptos" w:eastAsia="Aptos" w:hAnsi="Aptos"/>
          <w:b/>
          <w:bCs/>
          <w:color w:val="1B3A5C"/>
          <w:sz w:val="26"/>
          <w:szCs w:val="26"/>
        </w:rPr>
        <w:t xml:space="preserve">5. Governance Body: Composition, Cadence &amp; Authority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Seat</w:t>
            </w:r>
          </w:p>
        </w:tc>
        <w:tc>
          <w:tcPr>
            <w:tcW w:type="dxa" w:w="59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Held by (role)</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sponsor / Chair</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Part-time information security analyst</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representative (Facility A)</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manager, Facility A</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representative (Facility B)</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manager, Facility B</w:t>
            </w:r>
          </w:p>
        </w:tc>
      </w:tr>
      <w:tr>
        <w:tc>
          <w:tcPr>
            <w:tcW w:type="dxa" w:w="3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Privacy / records representative</w:t>
            </w:r>
          </w:p>
        </w:tc>
        <w:tc>
          <w:tcPr>
            <w:tcW w:type="dxa" w:w="5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Records manager</w:t>
            </w:r>
          </w:p>
        </w:tc>
      </w:tr>
    </w:tbl>
    <w:p>
      <w:pPr>
        <w:spacing w:after="120" w:before="0"/>
      </w:pPr>
      <w:r>
        <w:rPr>
          <w:rFonts w:ascii="Aptos" w:cs="Aptos" w:eastAsia="Aptos" w:hAnsi="Aptos"/>
          <w:b w:val="false"/>
          <w:bCs w:val="false"/>
          <w:i w:val="false"/>
          <w:iCs w:val="false"/>
          <w:sz w:val="24"/>
          <w:szCs w:val="24"/>
        </w:rPr>
        <w:t xml:space="preserve">The committee meets quarterly and on call after a significant incident. With six seats, a quorum is four. It sets priorities, approves policies, and accepts or escalates risk. A decision it cannot resolve, or one that needs capital funding, is escalated to the regional governing authority. The cadence and the reports it reviews are tracked in the Governance Reporting Calendar, and its decisions are recorded in the Leadership Security Review Meeting Minutes.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Chairs the committee, owns the program, and secures budget from the regional governing authority.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Runs the program day to day and reports status, risk, and incidents to the committee.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manager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Implements the committee’s decisions and reports technical status for both facilities.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Operations managers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Bring the operations view for each facility.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 policies the committee approves.</w:t>
            </w:r>
          </w:p>
        </w:tc>
      </w:tr>
    </w:tbl>
    <w:p>
      <w:pPr>
        <w:pStyle w:val="Heading2"/>
        <w:spacing w:after="100" w:before="220"/>
      </w:pPr>
      <w:r>
        <w:rPr>
          <w:rFonts w:ascii="Aptos" w:cs="Aptos" w:eastAsia="Aptos" w:hAnsi="Aptos"/>
          <w:b/>
          <w:bCs/>
          <w:color w:val="1B3A5C"/>
          <w:sz w:val="26"/>
          <w:szCs w:val="26"/>
        </w:rPr>
        <w:t xml:space="preserve">Committed Resources</w:t>
      </w:r>
    </w:p>
    <w:p>
      <w:pPr>
        <w:spacing w:after="120" w:before="0"/>
      </w:pPr>
      <w:r>
        <w:rPr>
          <w:rFonts w:ascii="Aptos" w:cs="Aptos" w:eastAsia="Aptos" w:hAnsi="Aptos"/>
          <w:b w:val="false"/>
          <w:bCs w:val="false"/>
          <w:i w:val="false"/>
          <w:iCs w:val="false"/>
          <w:sz w:val="24"/>
          <w:szCs w:val="24"/>
        </w:rPr>
        <w:t xml:space="preserve">Tri-River Regional 911 Center commits the part-time information security analyst, the dedicated IT team, the SIEM and security tooling, and a managed line in the annual budget for security. The dated detail is recorded in the Cybersecurity Budget &amp; Resource Allocation Record. The committee has flagged the part-time analyst role as a candidate for a full-time position at the next budget cycle.</w:t>
      </w:r>
    </w:p>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Director holds each role owner accountable for the duties in this charter. A missed obligation is raised at the next quarterly meeting and tracked to closure.</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approve a temporary change to the committee’s membership or cadence, stating the reason and an expiry date, reviewed each year.</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charter is reviewed at least annually and after any significant change to the center’s structure or mission, by the Director.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formal steering committee with defined seats, a quorum, and a published calendar oversees the program and reports to executive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§3.4, §4.1, §4.1.1</w:t>
            </w:r>
          </w:p>
          <w:p>
            <w:r>
              <w:rPr>
                <w:rFonts w:ascii="Aptos" w:cs="Aptos" w:eastAsia="Aptos" w:hAnsi="Aptos"/>
                <w:sz w:val="24"/>
                <w:szCs w:val="24"/>
              </w:rPr>
              <w:t xml:space="preserve">NIST SP 800-53 Rev. 5: PM-1, PM-2, PM-3,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(Executive Sponsor)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Cybersecurity Steering Committee Chair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