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Cybersecurity Governance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April 7, 2026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April 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establishes the governance body that sets cybersecurity and privacy priorities for Wabash Valley Communications, oversees the security program, and keeps it aligned with the center’s 9-1-1 mission and its legal obligations. As a consolidated multi-county center, the program also answers to a governing board drawn from the member counties.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Strategic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Protect the redundant systems and data the center uses to receive and dispatch 9-1-1 calls for its member counties.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the security program matched to the center’s risks and the resources the member counties provide.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Meet the center’s CJIS, IDACS, and Indiana obligations.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a named owner accountable for each part of the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Director, the security coordinator, the shared county IT lead, and the shift supervisors who carry security duties.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center’s security priorities, policies, risk decisions, metrics, and reporting to the governing 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day-to-day dispatch operations, which the committee oversees but does not run.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Governance body: the Wabash Valley Communications Cybersecurity Committee named in this charter, reporting to the member-county governing board.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Wabash Valley Communications maintains a Cybersecurity Committee with the authority to set security and privacy priorities and to approve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reviews security metrics, risk status, and incident reports each quarter and reports a summary to the governing board.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confirms the program aligns with the center’s 9-1-1 goals and its legal and regulatory duties.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serves as executive sponsor, accountable for the program and the resources the member counties provide.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Governance Body: Composition, Cadence &amp; Authority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Seat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Held by (role)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 / Chair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(Anthony Reyes)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Part-time security coordinator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lead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Operations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Shift supervisor (rotating)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Member-county liaison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Designated county representative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meets quarterly and on call after a significant incident. With five seats, a quorum is three. It sets priorities, approves policies, and accepts or escalates risk. A decision it cannot resolve, or one that needs funding, is escalated to the member-county governing board. The cadence and the reports it reviews are tracked in the Governance Reporting Calendar, and its decisions are recorded in the Leadership Security Review Meeting Minutes.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(Anthony Reyes)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Chairs the committee, owns the program, and secures resources from the member counties.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program day to day and reports status, risk, and incidents to the committee.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Implements the committee’s decisions and reports technical status.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Shift supervisors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Bring the operations view and relay staff concerns.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 policies the committee approves.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Committed Resources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Wabash Valley Communications commits the part-time security coordinator, a share of the county IT team’s time, and the center’s security tooling, funded through the member-county cost-share. The dated detail is recorded in the Cybersecurity Budget &amp; Resource Allocation Record.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holds each role owner accountable for the duties in this charter. A missed obligation is raised at the next quarterly meeting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may approve a temporary change to the committee’s membership or cadence, stating the reason and an expiry date, reviewed each year.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is reviewed at least annually and after any significant change to the center’s structure or mission, by the Director. It was last adopted on April 7, 2026.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standing committee of the director, a security coordinator, and county IT meets quarterly and reports to the county board.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§4.1, §4.1.1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PM-1, PM-2, PM-3, PM-9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(Executive Sponsor)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Committee Chair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 and adoption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