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990600" cy="990600"/>
            <wp:effectExtent t="0" r="0" b="0" l="0"/>
            <wp:docPr id="1" name="Seal" descr="Agency seal" title="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90600" cy="990600"/>
                    </a:xfrm>
                    <a:prstGeom prst="rect">
                      <a:avLst/>
                    </a:prstGeom>
                  </pic:spPr>
                </pic:pic>
              </a:graphicData>
            </a:graphic>
          </wp:inline>
        </w:drawing>
      </w:r>
    </w:p>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Tri-River Regional 911 Center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2026-05-01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Information Security Analyst, with an external firm for the triennial audit</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the full NG911 deployment across both centers: CAD, RMS, GIS, video, ALI, ESInet/NGCS, recording, and the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physical intrusion</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2026-01-01 to 2026-03-31</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Information Security Analyst</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val="false"/>
          <w:iCs w:val="false"/>
          <w:color w:val="000000"/>
          <w:sz w:val="24"/>
          <w:szCs w:val="24"/>
        </w:rPr>
        <w:t xml:space="preserve">The Tri-River Regional 911 Center completed its scheduled assessment with continuous-monitoring data, quarterly scanning, and a tabletop exercise, supported by the triennial external audit. The program is mature. The priorities are revising the backup call-handling runbook (life-safety) and standing up periodic recertification of privileged accounts. A single fiber path between the two centers was assessed and accepted for this cycle. Seven findings were recorded in the Risk / Finding Register.</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review, document review, and a tabletop walk-through of call-handling continuity.</w:t>
      </w:r>
    </w:p>
    <w:p>
      <w:pPr>
        <w:spacing w:after="80"/>
      </w:pPr>
      <w:r>
        <w:rPr>
          <w:rFonts w:ascii="Aptos" w:cs="Aptos" w:eastAsia="Aptos" w:hAnsi="Aptos"/>
          <w:b w:val="false"/>
          <w:bCs w:val="false"/>
          <w:i w:val="false"/>
          <w:iCs w:val="false"/>
          <w:color w:val="000000"/>
          <w:sz w:val="24"/>
          <w:szCs w:val="24"/>
        </w:rPr>
        <w:t xml:space="preserve">Impact scoring: each risk is scored High, Medium, or Low on three axes (effect on service, effect on data, effect on life safety). The overall rating takes the highest axis, raised one level when two or more axes score High.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Ransomware, credential and privilege abuse, integration compromise (GIS/RMS), TDoS/DoS, legacy TLS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Privileged-access sprawl, change-management gaps, alert fatigue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intrusion across two physical centers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Cloud and integration vendors, the inter-center fiber provider, software supply chain</w:t>
            </w:r>
          </w:p>
        </w:tc>
      </w:tr>
    </w:tbl>
    <w:p>
      <w:pPr>
        <w:spacing w:after="100" w:before="220"/>
      </w:pPr>
      <w:r>
        <w:rPr>
          <w:rFonts w:ascii="Aptos" w:cs="Aptos" w:eastAsia="Aptos" w:hAnsi="Aptos"/>
          <w:b/>
          <w:bCs/>
          <w:color w:val="1B3A5C"/>
          <w:sz w:val="26"/>
          <w:szCs w:val="26"/>
        </w:rPr>
        <w:t xml:space="preserve">4.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850"/>
        <w:gridCol w:w="800"/>
        <w:gridCol w:w="1050"/>
        <w:gridCol w:w="950"/>
        <w:gridCol w:w="231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8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0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9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231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Disabled endpoint agents on three workstations (remediated)</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Agents reinstalled; coverage monitored in the SIEM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F-03</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Privileged accounts without periodic recertification</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Stand up quarterly privileged-access recertification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F-05</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Backup call-handling runbook out of date</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Revise and re-exercise the continuity runbook</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F-07</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Single fiber path between the two centers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Accepted this cycle; pursue a diverse path in the capital budget</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does not track remediation;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for handoff: the life-safety findings first (the continuity runbook and privileged-access recertification), then the remaining items in impact order.</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The Tri-River Regional 911 Center is a Large-profile PSAP. It runs a formal, scheduled assessment with scanning, continuous monitoring, and tabletop exercises, and the results feed program-level risk management. Maturity work focuses on closing privileged-access and resilience gaps rather than adding tooling.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Information Security Analyst (assessor)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 2026 assessment cycle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a3f537467aa9aa44e3edde6594d7bf545fb29a.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2026-06-04T20:32:00.634Z</dcterms:created>
  <dcterms:modified xsi:type="dcterms:W3CDTF">2026-06-04T20:32:00.634Z</dcterms:modified>
</cp:coreProperties>
</file>

<file path=docProps/custom.xml><?xml version="1.0" encoding="utf-8"?>
<Properties xmlns="http://schemas.openxmlformats.org/officeDocument/2006/custom-properties" xmlns:vt="http://schemas.openxmlformats.org/officeDocument/2006/docPropsVTypes"/>
</file>