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990600" cy="990600"/>
            <wp:effectExtent t="0" r="0" b="0" l="0"/>
            <wp:docPr id="1" name="Seal" descr="Agency seal" title="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90600" cy="990600"/>
                    </a:xfrm>
                    <a:prstGeom prst="rect">
                      <a:avLst/>
                    </a:prstGeom>
                  </pic:spPr>
                </pic:pic>
              </a:graphicData>
            </a:graphic>
          </wp:inline>
        </w:drawing>
      </w:r>
    </w:p>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Wabash Valley Communications   ·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2026-05-01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Security Coordinator, with a contracted external assessor</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dual CAD and ESInet, radio and console, ALI/GIS, recording, and the mixed cloud and on-prem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physical intrusion</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2026-01-15 to 2026-03-15</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Security Coordinator</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val="false"/>
          <w:iCs w:val="false"/>
          <w:color w:val="000000"/>
          <w:sz w:val="24"/>
          <w:szCs w:val="24"/>
        </w:rPr>
        <w:t xml:space="preserve">Wabash Valley Communications completed an internal assessment with vulnerability scanning and an external review. Patch and configuration hygiene have improved, and the unpatched CAD application server found in scanning has been remediated. The leading open item is enforcement of multifactor authentication for remote administrative access. Six findings were recorded and tracked in the Risk / Finding Register.</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review, document review, and a tabletop walk-through of call-handling continuity.</w:t>
      </w:r>
    </w:p>
    <w:p>
      <w:pPr>
        <w:spacing w:after="80"/>
      </w:pPr>
      <w:r>
        <w:rPr>
          <w:rFonts w:ascii="Aptos" w:cs="Aptos" w:eastAsia="Aptos" w:hAnsi="Aptos"/>
          <w:b w:val="false"/>
          <w:bCs w:val="false"/>
          <w:i w:val="false"/>
          <w:iCs w:val="false"/>
          <w:color w:val="000000"/>
          <w:sz w:val="24"/>
          <w:szCs w:val="24"/>
        </w:rPr>
        <w:t xml:space="preserve">Impact scoring: each risk is scored High, Medium, or Low on three axes (effect on service, effect on data, effect on life safety). The overall rating takes the highest axis, raised one level when two or more axes score High.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Ransomware, credential compromise, CAD/ESInet outage, legacy protocols (SMBv1), misconfiguration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Insider error, shared county IT priorities, part-time security coverage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utility/power loss, EMP, physical intrusion at the comms room</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CAD and ESInet vendors, cloud providers, third-party maintenance access</w:t>
            </w:r>
          </w:p>
        </w:tc>
      </w:tr>
    </w:tbl>
    <w:p>
      <w:pPr>
        <w:spacing w:after="100" w:before="220"/>
      </w:pPr>
      <w:r>
        <w:rPr>
          <w:rFonts w:ascii="Aptos" w:cs="Aptos" w:eastAsia="Aptos" w:hAnsi="Aptos"/>
          <w:b/>
          <w:bCs/>
          <w:color w:val="1B3A5C"/>
          <w:sz w:val="26"/>
          <w:szCs w:val="26"/>
        </w:rPr>
        <w:t xml:space="preserve">4.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850"/>
        <w:gridCol w:w="800"/>
        <w:gridCol w:w="1050"/>
        <w:gridCol w:w="950"/>
        <w:gridCol w:w="2310"/>
      </w:tblGrid>
      <w:tr>
        <w:trPr>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8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0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95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231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Unpatched OS on a CAD application server (remediated)</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Patch applied in the maintenance window; verified</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F-02</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MFA not enforced for remote administrative access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Enforce MFA on the VPN and admin accounts</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F-03</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Legacy SMBv1 enabled on two file shares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Disable SMBv1 after dependency check</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F-04</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Logging not centralized; retention gaps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Forward logs to the county store; set retention</w:t>
            </w:r>
          </w:p>
        </w:tc>
      </w:tr>
      <w:t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F-06</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Second-site failover not tested in 12 months</w:t>
            </w:r>
          </w:p>
        </w:tc>
        <w:tc>
          <w:tcPr>
            <w:tcW w:type="dxa" w:w="8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w:t>
            </w:r>
          </w:p>
        </w:tc>
        <w:tc>
          <w:tcPr>
            <w:tcW w:type="dxa" w:w="10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w:t>
            </w:r>
          </w:p>
        </w:tc>
        <w:tc>
          <w:tcPr>
            <w:tcW w:type="dxa" w:w="95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High</w:t>
            </w:r>
          </w:p>
        </w:tc>
        <w:tc>
          <w:tcPr>
            <w:tcW w:type="dxa" w:w="231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Schedule a failover test with the ESInet provider</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does not track remediation;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for handoff: the life-safety findings first (MFA enforcement and the untested failover), then the remaining items in impact order.</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val="false"/>
          <w:iCs w:val="false"/>
          <w:color w:val="000000"/>
          <w:sz w:val="24"/>
          <w:szCs w:val="24"/>
        </w:rPr>
        <w:t xml:space="preserve">Wabash Valley Communications is a Medium-profile PSAP. It runs a scheduled assessment with vulnerability scanning and a tabletop element; the Security Coordinator owns scoring and the handoff to the Risk / Finding Register. The next step up is continuous monitoring of the CAD and network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 (assessor)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Reviewed by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2026-05-08</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 2026 assessment cycle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6c7d6129e5c6834a11de9e3e4cc952addc1549.png"/><Relationship Id="rId1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2026-06-04T20:32:00.616Z</dcterms:created>
  <dcterms:modified xsi:type="dcterms:W3CDTF">2026-06-04T20:32:00.616Z</dcterms:modified>
</cp:coreProperties>
</file>

<file path=docProps/custom.xml><?xml version="1.0" encoding="utf-8"?>
<Properties xmlns="http://schemas.openxmlformats.org/officeDocument/2006/custom-properties" xmlns:vt="http://schemas.openxmlformats.org/officeDocument/2006/docPropsVTypes"/>
</file>