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990600" cy="990600"/>
            <wp:effectExtent t="0" r="0" b="0" l="0"/>
            <wp:docPr id="1" name="Seal" descr="Agency seal" title="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Hickory County 911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Director, with county IT (self-assessment)</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CAD, the ESInet/NGCS connection, radio and console, ALI, and the courthouse-shared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2026-02-01 to 2026-04-30</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Director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Hickory County 911 ran its annual self-assessment with county IT support. The center's controls are basic but functional. The most important finding is the absence of multifactor authentication on remote access to the CAD vendor portal, a life-safety exposure; a single internet uplink with no failover is the main service-continuity concern. Four findings were recorded and entered into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compromise on the CAD portal, loss of the single internet uplink,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Untrained staff, shared accounts, county IT stretched across the courthouse network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loss in the shared server closet,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CAD vendor and single ESInet provider; single-carrier upstream</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 workstations missing current OS security patches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Enable a monthly patch window with county IT</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No multifactor on remote access to the CAD vendor portal</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Turn on MFA through the CAD vendor</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ISP uplink; no failover for 9-1-1 delivery</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Price a cellular failover circuit</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F-04</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Server closet shared and unlocked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Low</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Install a keyed lock; relocate supplies</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(MFA on remote access, the single uplink),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Hickory County 911 is a Small-profile PSAP. An annual interview-and-checklist assessment with county IT, scored manually on the three axes, is the minimum-viable approach; no scanning tool is required. The first capability to add is basic vulnerability scanning of the CAD and workstation segment.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 (assessor and reviewer)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68a5d3197f6fe6a60b4107c995a4f96b0943de.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2026-06-04T20:32:00.571Z</dcterms:created>
  <dcterms:modified xsi:type="dcterms:W3CDTF">2026-06-04T20:32:00.571Z</dcterms:modified>
</cp:coreProperties>
</file>

<file path=docProps/custom.xml><?xml version="1.0" encoding="utf-8"?>
<Properties xmlns="http://schemas.openxmlformats.org/officeDocument/2006/custom-properties" xmlns:vt="http://schemas.openxmlformats.org/officeDocument/2006/docPropsVTypes"/>
</file>