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60120" cy="9601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al_hickor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60120" cy="960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rFonts w:ascii="Aptos" w:cs="Aptos" w:eastAsia="Aptos" w:hAnsi="Aptos"/>
          <w:b/>
          <w:bCs/>
          <w:color w:val="1B3A5C"/>
          <w:sz w:val="40"/>
          <w:szCs w:val="40"/>
        </w:rPr>
        <w:t>Board / Leadership Security Reporting Template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Cover</w:t>
            </w:r>
          </w:p>
          <w:p>
            <w:pPr>
              <w:spacing w:after="60"/>
            </w:pPr>
            <w:r>
              <w:rPr>
                <w:rFonts w:ascii="Aptos" w:hAnsi="Aptos"/>
                <w:b/>
                <w:sz w:val="24"/>
              </w:rPr>
              <w:t xml:space="preserve">Reporting period: </w:t>
            </w:r>
            <w:r>
              <w:rPr>
                <w:rFonts w:ascii="Aptos" w:hAnsi="Aptos"/>
                <w:b w:val="0"/>
                <w:sz w:val="24"/>
              </w:rPr>
              <w:t xml:space="preserve">Q1 2026      </w:t>
            </w:r>
            <w:r>
              <w:rPr>
                <w:rFonts w:ascii="Aptos" w:hAnsi="Aptos"/>
                <w:b/>
                <w:sz w:val="24"/>
              </w:rPr>
              <w:t xml:space="preserve">Prepared by (role): </w:t>
            </w:r>
            <w:r>
              <w:rPr>
                <w:rFonts w:ascii="Aptos" w:hAnsi="Aptos"/>
                <w:b w:val="0"/>
                <w:sz w:val="24"/>
              </w:rPr>
              <w:t>Security Coordinator</w:t>
            </w:r>
          </w:p>
          <w:p>
            <w:pPr>
              <w:spacing w:after="60"/>
            </w:pPr>
            <w:r>
              <w:rPr>
                <w:rFonts w:ascii="Aptos" w:hAnsi="Aptos"/>
                <w:b/>
                <w:sz w:val="24"/>
              </w:rPr>
              <w:t xml:space="preserve">Audience: </w:t>
            </w:r>
            <w:r>
              <w:rPr>
                <w:rFonts w:ascii="Aptos" w:hAnsi="Aptos"/>
                <w:b w:val="0"/>
                <w:sz w:val="24"/>
              </w:rPr>
              <w:t>Governing board</w:t>
            </w:r>
          </w:p>
          <w:p>
            <w:pPr>
              <w:spacing w:after="60"/>
            </w:pPr>
            <w:r>
              <w:rPr>
                <w:rFonts w:ascii="Aptos" w:hAnsi="Aptos"/>
                <w:b/>
                <w:sz w:val="24"/>
              </w:rPr>
              <w:t xml:space="preserve">Owner: </w:t>
            </w:r>
            <w:r>
              <w:rPr>
                <w:rFonts w:ascii="Aptos" w:hAnsi="Aptos"/>
                <w:b w:val="0"/>
                <w:sz w:val="24"/>
              </w:rPr>
              <w:t>Security Coordinator</w:t>
            </w:r>
          </w:p>
          <w:p>
            <w:pPr>
              <w:spacing w:after="20"/>
            </w:pPr>
            <w:r>
              <w:rPr>
                <w:rFonts w:ascii="Aptos" w:hAnsi="Aptos"/>
                <w:b/>
                <w:sz w:val="24"/>
              </w:rPr>
              <w:t xml:space="preserve">Classification: </w:t>
            </w:r>
            <w:r>
              <w:rPr>
                <w:rFonts w:ascii="Aptos" w:hAnsi="Aptos"/>
                <w:b w:val="0"/>
                <w:sz w:val="24"/>
              </w:rPr>
              <w:t>Restricted</w:t>
            </w:r>
          </w:p>
        </w:tc>
      </w:tr>
    </w:tbl>
    <w:p>
      <w:pPr>
        <w:spacing w:after="60"/>
      </w:pP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1. Executive Summary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Risk posture is steady this quarter. The dual ESInet path is under review and the county patch backlog is closing. The security coordinator asks leadership to confirm the multi-factor requirement for vendor remote access. No reportable cyber incidents occurred.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2. Program Status &amp; Metrics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00"/>
        <w:gridCol w:w="2300"/>
        <w:gridCol w:w="1300"/>
        <w:gridCol w:w="4060"/>
      </w:tblGrid>
      <w:tr>
        <w:trPr>
          <w:tblHeader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Metric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This Period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Trend</w:t>
            </w:r>
          </w:p>
        </w:tc>
        <w:tc>
          <w:tcPr>
            <w:tcW w:type="dxa" w:w="4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Note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Open risks (by rating)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6 (3 High)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Down</w:t>
            </w:r>
          </w:p>
        </w:tc>
        <w:tc>
          <w:tcPr>
            <w:tcW w:type="dxa" w:w="4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Patch backlog closing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Findings closed this period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3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Up</w:t>
            </w:r>
          </w:p>
        </w:tc>
        <w:tc>
          <w:tcPr>
            <w:tcW w:type="dxa" w:w="4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Closed from the POA&amp;M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Overdue remediation items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1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Down</w:t>
            </w:r>
          </w:p>
        </w:tc>
        <w:tc>
          <w:tcPr>
            <w:tcW w:type="dxa" w:w="4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Logging consolidation slipped one cycle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Training completion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93%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Up</w:t>
            </w:r>
          </w:p>
        </w:tc>
        <w:tc>
          <w:tcPr>
            <w:tcW w:type="dxa" w:w="4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13 of 14 staff complete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Reportable incidents this period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0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Flat</w:t>
            </w:r>
          </w:p>
        </w:tc>
        <w:tc>
          <w:tcPr>
            <w:tcW w:type="dxa" w:w="4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No IOT reports required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3. Open Risk Decisions / Items Requiring Leadership Action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00"/>
        <w:gridCol w:w="1800"/>
        <w:gridCol w:w="2000"/>
        <w:gridCol w:w="2200"/>
        <w:gridCol w:w="1460"/>
      </w:tblGrid>
      <w:tr>
        <w:trPr>
          <w:tblHeader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Item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Risk / Finding ref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Decision needed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Recommended action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Owner (role)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Vendor MFA requirement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RISK-004 / POA&amp;M-004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Confirm SLA change?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Require MFA for all vendor remote access in the SLA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Director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Logging consolidation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RISK-005 / POA&amp;M-005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Approve resource?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Fund unified logging across cloud and on-prem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Director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4. Open Findings Summary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00"/>
        <w:gridCol w:w="1400"/>
        <w:gridCol w:w="1600"/>
        <w:gridCol w:w="1500"/>
        <w:gridCol w:w="2160"/>
      </w:tblGrid>
      <w:tr>
        <w:trPr>
          <w:tblHeader/>
        </w:trP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Finding ref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Severity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Status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Due date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Owner (role)</w:t>
            </w:r>
          </w:p>
        </w:tc>
      </w:tr>
      <w:t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POA&amp;M-002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High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 progress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2026-06-10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IT Support Lead</w:t>
            </w:r>
          </w:p>
        </w:tc>
      </w:tr>
      <w:t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POA&amp;M-004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High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 progress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2026-06-10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Security Coordinator</w:t>
            </w:r>
          </w:p>
        </w:tc>
      </w:tr>
      <w:t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POA&amp;M-005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Moderate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Open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2026-06-10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IT Support Lead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5. Reporting Cadence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This report is produced quarterly for the governing board, on the schedule set in the Governance Reporting Calendar. The reporting period and audience are recorded in the cover block above.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Profile Scaling Notes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PSAP Profile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Minimum-viable implementation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Medium (6–25, shared county IT)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 coordinator compiles the roll-up from the Risk Register and the POA&amp;M; the director presents to leadership. A short trend per metric is enough.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Source Authority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NENA-STA-040.2-2024: §4.1.1, §4.3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NIST SP 800-53 Rev. 5: PM-4, PM-6, PM-9, PM-15, RA-7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Sign-off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360"/>
        <w:gridCol w:w="2600"/>
        <w:gridCol w:w="140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Signature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Prepared by (Security Coordinator)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(on file)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(on file)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March 2, 2026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Acknowledged by (Director / leadership)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Anthony Reyes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/s/ Anthony Reyes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March 2, 2026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Revision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600"/>
        <w:gridCol w:w="2200"/>
        <w:gridCol w:w="4260"/>
      </w:tblGrid>
      <w:tr>
        <w:trPr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Version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Author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Summary of Change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1.0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March 2, 2026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Security Coordinator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Initial issue</w:t>
            </w:r>
          </w:p>
        </w:tc>
      </w:tr>
    </w:tbl>
    <w:p>
      <w:pPr>
        <w:spacing w:after="60"/>
      </w:pP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ptos" w:cs="Aptos" w:eastAsia="Aptos" w:hAnsi="Aptos"/>
        <w:color w:val="595959"/>
        <w:sz w:val="18"/>
        <w:szCs w:val="18"/>
      </w:rPr>
      <w:t xml:space="preserve">Page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ptos" w:cs="Aptos" w:eastAsia="Aptos" w:hAnsi="Aptos"/>
        <w:color w:val="595959"/>
        <w:sz w:val="18"/>
        <w:szCs w:val="18"/>
      </w:rPr>
      <w:t xml:space="preserve"> of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A5C" w:sz="6" w:space="2"/>
      </w:pBdr>
      <w:jc w:val="right"/>
    </w:pPr>
    <w:r>
      <w:rPr>
        <w:rFonts w:ascii="Aptos" w:cs="Aptos" w:eastAsia="Aptos" w:hAnsi="Aptos"/>
        <w:color w:val="595959"/>
        <w:sz w:val="16"/>
        <w:szCs w:val="16"/>
      </w:rPr>
    </w:r>
  </w:p>
  <w:p>
    <w:r>
      <w:drawing>
        <wp:anchor xmlns:a="http://schemas.openxmlformats.org/drawingml/2006/main" behindDoc="1" distT="0" distB="0" distL="0" distR="0" simplePos="0" locked="0" layoutInCell="1" allowOverlap="1" relativeHeight="0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5943600" cy="5943600"/>
          <wp:effectExtent l="0" t="0" r="0" b="0"/>
          <wp:wrapNone/>
          <wp:docPr id="990" name="SampleWatermark"/>
          <wp:cNvGraphicFramePr/>
          <a:graphic xmlns:pic="http://schemas.openxmlformats.org/drawingml/2006/picture">
            <a:graphicData uri="http://schemas.openxmlformats.org/drawingml/2006/picture">
              <pic:pic>
                <pic:nvPicPr>
                  <pic:cNvPr id="0" name="_sample_wm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943600" cy="59436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ptos" w:cs="Aptos" w:eastAsia="Aptos" w:hAnsi="Aptos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ptos" w:cs="Aptos" w:eastAsia="Aptos" w:hAnsi="Aptos"/>
      <w:b/>
      <w:bCs/>
      <w:color w:val="1B3A5C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2026-06-01T15:29:11.506Z</dcterms:created>
  <dcterms:modified xsi:type="dcterms:W3CDTF">2026-06-01T15:29:11.506Z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