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personnel and authorized contractors may use the center’s systems, networks, and data. It states the conduct expected of every user and the conditions of access. Signing this policy is a condition of being granted access to any Wabash Valley Communications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Wabash Valley Communications personnel, including the fourteen full-time dispatchers across two shifts, shift supervisors, the part-time security coordinator, and administrative staff, and any shared county IT or vendor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redundant call-handling and CAD systems, the dual ESInet connections, the logging and recording systems, and the mixed cloud and on-premises infrastructure,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governed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Wabash Valley Communications.</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do not share passwords or their IDACS sign-on, and report a suspected compromise to the security coordinator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security coordinator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Wabash Valley Communications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Wabash Valley Communications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administrative workstations, the VPN, and the cloud applications that support single sign-on. The consoles, the VPN, and the cloud sign-on record each acknowledgment, and the security coordinator reviews banner confirmations quarterly.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county IT enables an account, signs again each year, and signs again whenever the policy changes. County IT does not enable an account until the security coordinator confirms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confirms acknowledgments before access, and reviews banner confirmations.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coordinator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security coordinator monitors compliance through console, VPN, and cloud sign-on logs, banner confirmations,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security coordinator tracks open exceptions and reviews them each year.</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coordinator tracks acknowledgments and renewals for all staff and contractors, and county IT configures the banner on shared systems.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Wabash Valley Communications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