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drawing>
          <wp:inline xmlns:a="http://schemas.openxmlformats.org/drawingml/2006/main" xmlns:pic="http://schemas.openxmlformats.org/drawingml/2006/picture">
            <wp:extent cx="960120" cy="960120"/>
            <wp:docPr id="1" name="Seal"/>
            <wp:cNvGraphicFramePr>
              <a:graphicFrameLocks noChangeAspect="1"/>
            </wp:cNvGraphicFramePr>
            <a:graphic>
              <a:graphicData uri="http://schemas.openxmlformats.org/drawingml/2006/picture">
                <pic:pic>
                  <pic:nvPicPr>
                    <pic:cNvPr id="0" name="seal_hickory.png"/>
                    <pic:cNvPicPr/>
                  </pic:nvPicPr>
                  <pic:blipFill>
                    <a:blip r:embed="rId900"/>
                    <a:stretch>
                      <a:fillRect/>
                    </a:stretch>
                  </pic:blipFill>
                  <pic:spPr>
                    <a:xfrm>
                      <a:off x="0" y="0"/>
                      <a:ext cx="960120" cy="960120"/>
                    </a:xfrm>
                    <a:prstGeom prst="rect"/>
                  </pic:spPr>
                </pic:pic>
              </a:graphicData>
            </a:graphic>
          </wp:inline>
        </w:drawing>
      </w:r>
    </w:p>
    <w:p>
      <w:pPr>
        <w:spacing w:after="60"/>
      </w:pPr>
      <w:r>
        <w:rPr>
          <w:rFonts w:ascii="Aptos" w:cs="Aptos" w:eastAsia="Aptos" w:hAnsi="Aptos"/>
          <w:b/>
          <w:bCs/>
          <w:color w:val="1B3A5C"/>
          <w:sz w:val="40"/>
          <w:szCs w:val="40"/>
        </w:rPr>
        <w:t xml:space="preserve">Risk Management Methodology Standard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sz w:val="24"/>
                <w:szCs w:val="24"/>
              </w:rPr>
              <w:t xml:space="preserve">Authority: Adopted by Tri-River Regional 911 Center under the authority of Dr. Lisa Park, Executive Director.</w:t>
            </w:r>
            <w:r>
              <w:rPr>
                <w:rFonts w:ascii="Aptos" w:cs="Aptos" w:eastAsia="Aptos" w:hAnsi="Aptos"/>
                <w:b w:val="false"/>
                <w:bCs w:val="false"/>
                <w:i w:val="false"/>
                <w:iCs w:val="false"/>
                <w:sz w:val="24"/>
                <w:szCs w:val="24"/>
              </w:rPr>
              <w:t xml:space="preserve"/>
            </w:r>
            <w:r>
              <w:rPr>
                <w:rFonts w:ascii="Aptos" w:cs="Aptos" w:eastAsia="Aptos" w:hAnsi="Aptos"/>
                <w:b/>
                <w:bCs/>
                <w:i w:val="false"/>
                <w:iCs w:val="false"/>
                <w:sz w:val="24"/>
                <w:szCs w:val="24"/>
              </w:rPr>
              <w:t xml:space="preserve"/>
            </w:r>
            <w:r>
              <w:rPr>
                <w:rFonts w:ascii="Aptos" w:cs="Aptos" w:eastAsia="Aptos" w:hAnsi="Aptos"/>
                <w:b w:val="false"/>
                <w:bCs w:val="false"/>
                <w:i w:val="false"/>
                <w:iCs w:val="false"/>
                <w:sz w:val="24"/>
                <w:szCs w:val="24"/>
              </w:rPr>
              <w:t xml:space="preserve"/>
            </w:r>
            <w:r>
              <w:rPr>
                <w:rFonts w:ascii="Aptos" w:cs="Aptos" w:eastAsia="Aptos" w:hAnsi="Aptos"/>
                <w:b/>
                <w:bCs/>
                <w:i w:val="false"/>
                <w:iCs w:val="false"/>
                <w:sz w:val="24"/>
                <w:szCs w:val="24"/>
              </w:rPr>
              <w:t xml:space="preserve"/>
            </w:r>
            <w:r>
              <w:rPr>
                <w:rFonts w:ascii="Aptos" w:cs="Aptos" w:eastAsia="Aptos" w:hAnsi="Aptos"/>
                <w:b w:val="false"/>
                <w:bCs w:val="false"/>
                <w:i w:val="false"/>
                <w:iCs w:val="false"/>
                <w:sz w:val="24"/>
                <w:szCs w:val="24"/>
              </w:rPr>
              <w:t xml:space="preserve"/>
            </w:r>
          </w:p>
          <w:p>
            <w:pPr>
              <w:spacing w:after="60"/>
            </w:pPr>
            <w:r>
              <w:rPr>
                <w:rFonts w:ascii="Aptos" w:cs="Aptos" w:eastAsia="Aptos" w:hAnsi="Aptos"/>
                <w:b/>
                <w:bCs/>
                <w:i w:val="false"/>
                <w:iCs w:val="false"/>
                <w:sz w:val="24"/>
                <w:szCs w:val="24"/>
              </w:rPr>
              <w:t xml:space="preserve">Version: 1.0    Effective Date: January 20, 2026    Next Review: January 20, 2027</w:t>
            </w:r>
            <w:r>
              <w:rPr>
                <w:rFonts w:ascii="Aptos" w:cs="Aptos" w:eastAsia="Aptos" w:hAnsi="Aptos"/>
                <w:b w:val="false"/>
                <w:bCs w:val="false"/>
                <w:i w:val="false"/>
                <w:iCs w:val="false"/>
                <w:sz w:val="24"/>
                <w:szCs w:val="24"/>
              </w:rPr>
              <w:t xml:space="preserve"/>
            </w:r>
            <w:r>
              <w:rPr>
                <w:rFonts w:ascii="Aptos" w:cs="Aptos" w:eastAsia="Aptos" w:hAnsi="Aptos"/>
                <w:b/>
                <w:bCs/>
                <w:i w:val="false"/>
                <w:iCs w:val="false"/>
                <w:sz w:val="24"/>
                <w:szCs w:val="24"/>
              </w:rPr>
              <w:t xml:space="preserve"/>
            </w:r>
            <w:r>
              <w:rPr>
                <w:rFonts w:ascii="Aptos" w:cs="Aptos" w:eastAsia="Aptos" w:hAnsi="Aptos"/>
                <w:b w:val="false"/>
                <w:bCs w:val="false"/>
                <w:i w:val="false"/>
                <w:iCs w:val="false"/>
                <w:sz w:val="24"/>
                <w:szCs w:val="24"/>
              </w:rPr>
              <w:t xml:space="preserve"/>
            </w:r>
            <w:r>
              <w:rPr>
                <w:rFonts w:ascii="Aptos" w:cs="Aptos" w:eastAsia="Aptos" w:hAnsi="Aptos"/>
                <w:b/>
                <w:bCs/>
                <w:i w:val="false"/>
                <w:iCs w:val="false"/>
                <w:sz w:val="24"/>
                <w:szCs w:val="24"/>
              </w:rPr>
              <w:t xml:space="preserve"/>
            </w:r>
            <w:r>
              <w:rPr>
                <w:rFonts w:ascii="Aptos" w:cs="Aptos" w:eastAsia="Aptos" w:hAnsi="Aptos"/>
                <w:b w:val="false"/>
                <w:bCs w:val="false"/>
                <w:i w:val="false"/>
                <w:iCs w:val="false"/>
                <w:sz w:val="24"/>
                <w:szCs w:val="24"/>
              </w:rPr>
              <w:t xml:space="preserve"/>
            </w:r>
          </w:p>
          <w:p>
            <w:pPr>
              <w:spacing w:after="60"/>
            </w:pPr>
            <w:r>
              <w:rPr>
                <w:rFonts w:ascii="Aptos" w:cs="Aptos" w:eastAsia="Aptos" w:hAnsi="Aptos"/>
                <w:b/>
                <w:bCs/>
                <w:i w:val="false"/>
                <w:iCs w:val="false"/>
                <w:sz w:val="24"/>
                <w:szCs w:val="24"/>
              </w:rPr>
              <w:t xml:space="preserve">Owner: Information Security Analyst</w:t>
            </w:r>
            <w:r>
              <w:rPr>
                <w:rFonts w:ascii="Aptos" w:cs="Aptos" w:eastAsia="Aptos" w:hAnsi="Aptos"/>
                <w:b w:val="false"/>
                <w:bCs w:val="false"/>
                <w:i w:val="false"/>
                <w:iCs w:val="false"/>
                <w:sz w:val="24"/>
                <w:szCs w:val="24"/>
              </w:rPr>
              <w:t xml:space="preserve"/>
            </w:r>
          </w:p>
          <w:p>
            <w:pPr>
              <w:spacing w:after="20"/>
            </w:pPr>
            <w:r>
              <w:rPr>
                <w:rFonts w:ascii="Aptos" w:cs="Aptos" w:eastAsia="Aptos" w:hAnsi="Aptos"/>
                <w:b/>
                <w:bCs/>
                <w:i w:val="false"/>
                <w:iCs w:val="false"/>
                <w:sz w:val="24"/>
                <w:szCs w:val="24"/>
              </w:rPr>
              <w:t xml:space="preserve">Classification: Internal</w:t>
            </w:r>
            <w:r>
              <w:rPr>
                <w:rFonts w:ascii="Aptos" w:cs="Aptos" w:eastAsia="Aptos" w:hAnsi="Aptos"/>
                <w:b w:val="false"/>
                <w:bCs w:val="false"/>
                <w:i w:val="false"/>
                <w:iCs w:val="false"/>
                <w:sz w:val="24"/>
                <w:szCs w:val="24"/>
              </w:rPr>
              <w:t xml:space="preserve"/>
            </w:r>
          </w:p>
        </w:tc>
      </w:tr>
    </w:tbl>
    <w:p>
      <w:pPr>
        <w:spacing w:after="60"/>
      </w:pPr>
    </w:p>
    <w:p>
      <w:pPr>
        <w:pStyle w:val="Heading2"/>
        <w:spacing w:after="100" w:before="220"/>
      </w:pPr>
      <w:r>
        <w:rPr>
          <w:rFonts w:ascii="Aptos" w:cs="Aptos" w:eastAsia="Aptos" w:hAnsi="Aptos"/>
          <w:b/>
          <w:bCs/>
          <w:color w:val="1B3A5C"/>
          <w:sz w:val="26"/>
          <w:szCs w:val="26"/>
        </w:rPr>
        <w:t xml:space="preserve">1. Purpose</w:t>
      </w:r>
    </w:p>
    <w:p>
      <w:pPr>
        <w:spacing w:after="120" w:before="0"/>
      </w:pPr>
      <w:r>
        <w:rPr>
          <w:rFonts w:ascii="Aptos" w:cs="Aptos" w:eastAsia="Aptos" w:hAnsi="Aptos"/>
          <w:b w:val="false"/>
          <w:bCs w:val="false"/>
          <w:i w:val="false"/>
          <w:iCs w:val="false"/>
          <w:sz w:val="24"/>
          <w:szCs w:val="24"/>
        </w:rPr>
        <w:t xml:space="preserve">This standard sets how Tri-River Regional 911 Center manages cybersecurity risk: the risk it is willing to accept, the scales it uses to score risk, and the threats it accounts for. It implements the Cybersecurity &amp; Privacy Policy and governs the Risk Assessment Procedure that runs against it.</w:t>
      </w:r>
    </w:p>
    <w:p>
      <w:pPr>
        <w:pStyle w:val="Heading2"/>
        <w:spacing w:after="100" w:before="220"/>
      </w:pPr>
      <w:r>
        <w:rPr>
          <w:rFonts w:ascii="Aptos" w:cs="Aptos" w:eastAsia="Aptos" w:hAnsi="Aptos"/>
          <w:b/>
          <w:bCs/>
          <w:color w:val="1B3A5C"/>
          <w:sz w:val="26"/>
          <w:szCs w:val="26"/>
        </w:rPr>
        <w:t xml:space="preserve">2. Scope</w:t>
      </w:r>
    </w:p>
    <w:p>
      <w:pPr>
        <w:pStyle w:val="ListParagraph"/>
        <w:numPr>
          <w:ilvl w:val="0"/>
          <w:numId w:val="2"/>
        </w:numPr>
        <w:spacing w:after="60"/>
      </w:pPr>
      <w:r>
        <w:rPr>
          <w:rFonts w:ascii="Aptos" w:cs="Aptos" w:eastAsia="Aptos" w:hAnsi="Aptos"/>
          <w:b w:val="false"/>
          <w:bCs w:val="false"/>
          <w:i w:val="false"/>
          <w:iCs w:val="false"/>
          <w:sz w:val="24"/>
          <w:szCs w:val="24"/>
        </w:rPr>
        <w:t xml:space="preserve">Applies to: all mission-critical public-safety systems and the data they handle, and every risk assessment the Agency performs.</w:t>
      </w:r>
    </w:p>
    <w:p>
      <w:pPr>
        <w:pStyle w:val="ListParagraph"/>
        <w:numPr>
          <w:ilvl w:val="0"/>
          <w:numId w:val="2"/>
        </w:numPr>
        <w:spacing w:after="60"/>
      </w:pPr>
      <w:r>
        <w:rPr>
          <w:rFonts w:ascii="Aptos" w:cs="Aptos" w:eastAsia="Aptos" w:hAnsi="Aptos"/>
          <w:b w:val="false"/>
          <w:bCs w:val="false"/>
          <w:i w:val="false"/>
          <w:iCs w:val="false"/>
          <w:sz w:val="24"/>
          <w:szCs w:val="24"/>
        </w:rPr>
        <w:t xml:space="preserve">Implements: Cybersecurity &amp; Privacy Policy.</w:t>
      </w:r>
    </w:p>
    <w:p>
      <w:pPr>
        <w:pStyle w:val="ListParagraph"/>
        <w:numPr>
          <w:ilvl w:val="0"/>
          <w:numId w:val="2"/>
        </w:numPr>
        <w:spacing w:after="60"/>
      </w:pPr>
      <w:r>
        <w:rPr>
          <w:rFonts w:ascii="Aptos" w:cs="Aptos" w:eastAsia="Aptos" w:hAnsi="Aptos"/>
          <w:b w:val="false"/>
          <w:bCs w:val="false"/>
          <w:i w:val="false"/>
          <w:iCs w:val="false"/>
          <w:sz w:val="24"/>
          <w:szCs w:val="24"/>
        </w:rPr>
        <w:t xml:space="preserve">Excludes: None.</w:t>
      </w:r>
    </w:p>
    <w:p>
      <w:pPr>
        <w:pStyle w:val="Heading2"/>
        <w:spacing w:after="100" w:before="220"/>
      </w:pPr>
      <w:r>
        <w:rPr>
          <w:rFonts w:ascii="Aptos" w:cs="Aptos" w:eastAsia="Aptos" w:hAnsi="Aptos"/>
          <w:b/>
          <w:bCs/>
          <w:color w:val="1B3A5C"/>
          <w:sz w:val="26"/>
          <w:szCs w:val="26"/>
        </w:rPr>
        <w:t xml:space="preserve">3. Requirements</w:t>
      </w:r>
    </w:p>
    <w:p>
      <w:pPr>
        <w:pStyle w:val="ListParagraph"/>
        <w:numPr>
          <w:ilvl w:val="0"/>
          <w:numId w:val="3"/>
        </w:numPr>
        <w:spacing w:after="60"/>
      </w:pPr>
      <w:r>
        <w:rPr>
          <w:rFonts w:ascii="Aptos" w:cs="Aptos" w:eastAsia="Aptos" w:hAnsi="Aptos"/>
          <w:b w:val="false"/>
          <w:bCs w:val="false"/>
          <w:i w:val="false"/>
          <w:iCs w:val="false"/>
          <w:sz w:val="24"/>
          <w:szCs w:val="24"/>
        </w:rPr>
        <w:t xml:space="preserve">The Agency shall manage risk to its mission-critical systems within the risk appetite stated below, and shall not accept a risk above that appetite without a recorded deviation.</w:t>
      </w:r>
    </w:p>
    <w:p>
      <w:pPr>
        <w:pStyle w:val="ListParagraph"/>
        <w:numPr>
          <w:ilvl w:val="0"/>
          <w:numId w:val="3"/>
        </w:numPr>
        <w:spacing w:after="60"/>
      </w:pPr>
      <w:r>
        <w:rPr>
          <w:rFonts w:ascii="Aptos" w:cs="Aptos" w:eastAsia="Aptos" w:hAnsi="Aptos"/>
          <w:b w:val="false"/>
          <w:bCs w:val="false"/>
          <w:i w:val="false"/>
          <w:iCs w:val="false"/>
          <w:sz w:val="24"/>
          <w:szCs w:val="24"/>
        </w:rPr>
        <w:t xml:space="preserve">Risk appetite. The Agency accepts low-to-moderate residual risk to systems that support 9-1-1 call handling and dispatch, and accepts no avoidable risk that would interrupt call answering or dispatch. </w:t>
      </w:r>
    </w:p>
    <w:p>
      <w:pPr>
        <w:pStyle w:val="ListParagraph"/>
        <w:numPr>
          <w:ilvl w:val="0"/>
          <w:numId w:val="3"/>
        </w:numPr>
        <w:spacing w:after="60"/>
      </w:pPr>
      <w:r>
        <w:rPr>
          <w:rFonts w:ascii="Aptos" w:cs="Aptos" w:eastAsia="Aptos" w:hAnsi="Aptos"/>
          <w:b w:val="false"/>
          <w:bCs w:val="false"/>
          <w:i w:val="false"/>
          <w:iCs w:val="false"/>
          <w:sz w:val="24"/>
          <w:szCs w:val="24"/>
        </w:rPr>
        <w:t xml:space="preserve">The Agency shall score each risk on likelihood and impact using the scales in Approved and Prohibited, rating impact against service availability, data, and life safety.</w:t>
      </w:r>
    </w:p>
    <w:p>
      <w:pPr>
        <w:pStyle w:val="ListParagraph"/>
        <w:numPr>
          <w:ilvl w:val="0"/>
          <w:numId w:val="3"/>
        </w:numPr>
        <w:spacing w:after="60"/>
      </w:pPr>
      <w:r>
        <w:rPr>
          <w:rFonts w:ascii="Aptos" w:cs="Aptos" w:eastAsia="Aptos" w:hAnsi="Aptos"/>
          <w:b w:val="false"/>
          <w:bCs w:val="false"/>
          <w:i w:val="false"/>
          <w:iCs w:val="false"/>
          <w:sz w:val="24"/>
          <w:szCs w:val="24"/>
        </w:rPr>
        <w:t xml:space="preserve">The Agency shall account for, at minimum, the threat vectors listed in Approved and Prohibited: phishing and social engineering, malware and ransomware, supplier and third-party compromise, and denial-of-service against call delivery.</w:t>
      </w:r>
    </w:p>
    <w:p>
      <w:pPr>
        <w:pStyle w:val="ListParagraph"/>
        <w:numPr>
          <w:ilvl w:val="0"/>
          <w:numId w:val="3"/>
        </w:numPr>
        <w:spacing w:after="60"/>
      </w:pPr>
      <w:r>
        <w:rPr>
          <w:rFonts w:ascii="Aptos" w:cs="Aptos" w:eastAsia="Aptos" w:hAnsi="Aptos"/>
          <w:b w:val="false"/>
          <w:bCs w:val="false"/>
          <w:i w:val="false"/>
          <w:iCs w:val="false"/>
          <w:sz w:val="24"/>
          <w:szCs w:val="24"/>
        </w:rPr>
        <w:t xml:space="preserve">The Agency shall assess risk at least annually and after any major system change or significant incident, following the Risk Assessment Procedure.</w:t>
      </w:r>
    </w:p>
    <w:p>
      <w:pPr>
        <w:pStyle w:val="ListParagraph"/>
        <w:numPr>
          <w:ilvl w:val="0"/>
          <w:numId w:val="3"/>
        </w:numPr>
        <w:spacing w:after="60"/>
      </w:pPr>
      <w:r>
        <w:rPr>
          <w:rFonts w:ascii="Aptos" w:cs="Aptos" w:eastAsia="Aptos" w:hAnsi="Aptos"/>
          <w:b w:val="false"/>
          <w:bCs w:val="false"/>
          <w:i w:val="false"/>
          <w:iCs w:val="false"/>
          <w:sz w:val="24"/>
          <w:szCs w:val="24"/>
        </w:rPr>
        <w:t xml:space="preserve">The Agency shall record assessed risks in the Risk Register and track treatment decisions in the Risk / Finding Register (POA&amp;M).</w:t>
      </w:r>
    </w:p>
    <w:p>
      <w:pPr>
        <w:pStyle w:val="Heading2"/>
        <w:spacing w:after="100" w:before="220"/>
      </w:pPr>
      <w:r>
        <w:rPr>
          <w:rFonts w:ascii="Aptos" w:cs="Aptos" w:eastAsia="Aptos" w:hAnsi="Aptos"/>
          <w:b/>
          <w:bCs/>
          <w:color w:val="1B3A5C"/>
          <w:sz w:val="26"/>
          <w:szCs w:val="26"/>
        </w:rPr>
        <w:t xml:space="preserve">4. Approved and Prohibited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Approved</w:t>
            </w:r>
          </w:p>
        </w:tc>
        <w:tc>
          <w:tcPr>
            <w:tcW w:type="dxa" w:w="468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Prohibited</w:t>
            </w:r>
          </w:p>
        </w:tc>
      </w:tr>
      <w:tr>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Likelihood scale: Rare, Unlikely, Possible, Likely, Almost Certain.</w:t>
            </w:r>
          </w:p>
        </w:tc>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Scoring risk without the approved scales.</w:t>
            </w:r>
          </w:p>
        </w:tc>
      </w:tr>
      <w:tr>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Impact scale: Negligible, Minor, Moderate, Major, Severe, rated against service, data, and life safety.</w:t>
            </w:r>
          </w:p>
        </w:tc>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Treating a life-safety impact as anything below Major.</w:t>
            </w:r>
          </w:p>
        </w:tc>
      </w:tr>
      <w:tr>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Risk rating: likelihood combined with impact, mapped to Low, Moderate, High, Critical.</w:t>
            </w:r>
          </w:p>
        </w:tc>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Accepting a High or Critical risk to call handling or dispatch without a recorded deviation.</w:t>
            </w:r>
          </w:p>
        </w:tc>
      </w:tr>
      <w:tr>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Threat vectors in scope: phishing, malware and ransomware, supplier compromise, denial-of-service.</w:t>
            </w:r>
          </w:p>
        </w:tc>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Leaving an assessed risk out of the Risk Register.</w:t>
            </w:r>
          </w:p>
        </w:tc>
      </w:tr>
    </w:tbl>
    <w:p>
      <w:pPr>
        <w:pStyle w:val="Heading2"/>
        <w:spacing w:after="100" w:before="220"/>
      </w:pPr>
      <w:r>
        <w:rPr>
          <w:rFonts w:ascii="Aptos" w:cs="Aptos" w:eastAsia="Aptos" w:hAnsi="Aptos"/>
          <w:b/>
          <w:bCs/>
          <w:color w:val="1B3A5C"/>
          <w:sz w:val="26"/>
          <w:szCs w:val="26"/>
        </w:rPr>
        <w:t xml:space="preserve">5. Deviation Process</w:t>
      </w:r>
    </w:p>
    <w:p>
      <w:pPr>
        <w:spacing w:after="120" w:before="0"/>
      </w:pPr>
      <w:r>
        <w:rPr>
          <w:rFonts w:ascii="Aptos" w:cs="Aptos" w:eastAsia="Aptos" w:hAnsi="Aptos"/>
          <w:b w:val="false"/>
          <w:bCs w:val="false"/>
          <w:i w:val="false"/>
          <w:iCs w:val="false"/>
          <w:sz w:val="24"/>
          <w:szCs w:val="24"/>
        </w:rPr>
        <w:t xml:space="preserve">A deviation from this standard, including accepting a risk above the stated appetite, requires written approval from the Executive Director. The request states the risk, the reason, any compensating controls, and an end date. Approved deviations are recorded in the Risk Register and reviewed at least annually.</w:t>
      </w:r>
    </w:p>
    <w:p>
      <w:pPr>
        <w:pStyle w:val="Heading2"/>
        <w:spacing w:after="100" w:before="220"/>
      </w:pPr>
      <w:r>
        <w:rPr>
          <w:rFonts w:ascii="Aptos" w:cs="Aptos" w:eastAsia="Aptos" w:hAnsi="Aptos"/>
          <w:b/>
          <w:bCs/>
          <w:color w:val="1B3A5C"/>
          <w:sz w:val="26"/>
          <w:szCs w:val="26"/>
        </w:rPr>
        <w:t xml:space="preserve">6. Review Schedule</w:t>
      </w:r>
    </w:p>
    <w:p>
      <w:pPr>
        <w:spacing w:after="120" w:before="0"/>
      </w:pPr>
      <w:r>
        <w:rPr>
          <w:rFonts w:ascii="Aptos" w:cs="Aptos" w:eastAsia="Aptos" w:hAnsi="Aptos"/>
          <w:b w:val="false"/>
          <w:bCs w:val="false"/>
          <w:i w:val="false"/>
          <w:iCs w:val="false"/>
          <w:sz w:val="24"/>
          <w:szCs w:val="24"/>
        </w:rPr>
        <w:t xml:space="preserve">This standard is reviewed at least annually and after any significant change to the Agency's systems, threats, or risk tolerance, by the Executive Director.</w:t>
      </w:r>
    </w:p>
    <w:p>
      <w:pPr>
        <w:pStyle w:val="Heading2"/>
        <w:spacing w:after="100" w:before="220"/>
      </w:pPr>
      <w:r>
        <w:rPr>
          <w:rFonts w:ascii="Aptos" w:cs="Aptos" w:eastAsia="Aptos" w:hAnsi="Aptos"/>
          <w:b/>
          <w:bCs/>
          <w:color w:val="1B3A5C"/>
          <w:sz w:val="26"/>
          <w:szCs w:val="26"/>
        </w:rPr>
        <w:t xml:space="preserve">Profile Scaling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PSAP Profile</w:t>
            </w:r>
          </w:p>
        </w:tc>
        <w:tc>
          <w:tcPr>
            <w:tcW w:type="dxa" w:w="61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Minimum-viable implementation</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Large (25+, dedicated IT/security)</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The methodology drives a formal, scheduled risk program. The security role owns the scales, the rating thresholds, and the appetite, and reports risk posture to leadership.</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Source Authority</w:t>
            </w:r>
          </w:p>
          <w:p>
            <w:pPr>
              <w:spacing w:after="40" w:before="0"/>
            </w:pPr>
            <w:r>
              <w:rPr>
                <w:rFonts w:ascii="Aptos" w:cs="Aptos" w:eastAsia="Aptos" w:hAnsi="Aptos"/>
                <w:b w:val="false"/>
                <w:bCs w:val="false"/>
                <w:i w:val="false"/>
                <w:iCs w:val="false"/>
                <w:sz w:val="24"/>
                <w:szCs w:val="24"/>
              </w:rPr>
              <w:t xml:space="preserve">NENA-STA-040.2-2024: §4.2.1, §4.3.1, §4.3.2</w:t>
            </w:r>
          </w:p>
          <w:p>
            <w:pPr>
              <w:spacing w:after="40" w:before="0"/>
            </w:pPr>
            <w:r>
              <w:rPr>
                <w:rFonts w:ascii="Aptos" w:cs="Aptos" w:eastAsia="Aptos" w:hAnsi="Aptos"/>
                <w:b w:val="false"/>
                <w:bCs w:val="false"/>
                <w:i w:val="false"/>
                <w:iCs w:val="false"/>
                <w:sz w:val="24"/>
                <w:szCs w:val="24"/>
              </w:rPr>
              <w:t xml:space="preserve">NIST SP 800-53 Rev. 5: PM-9, PM-28, RA-1, RA-3, RA-7</w:t>
            </w:r>
          </w:p>
        </w:tc>
      </w:tr>
    </w:tbl>
    <w:p>
      <w:pPr>
        <w:pStyle w:val="Heading2"/>
        <w:spacing w:after="100" w:before="220"/>
      </w:pPr>
      <w:r>
        <w:rPr>
          <w:rFonts w:ascii="Aptos" w:cs="Aptos" w:eastAsia="Aptos" w:hAnsi="Aptos"/>
          <w:b/>
          <w:bCs/>
          <w:color w:val="1B3A5C"/>
          <w:sz w:val="26"/>
          <w:szCs w:val="26"/>
        </w:rPr>
        <w:t xml:space="preserve">Approval Signatures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360"/>
        <w:gridCol w:w="2600"/>
        <w:gridCol w:w="140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2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Name</w:t>
            </w:r>
          </w:p>
        </w:tc>
        <w:tc>
          <w:tcPr>
            <w:tcW w:type="dxa" w:w="2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Signature</w:t>
            </w:r>
          </w:p>
        </w:tc>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Executive Director (approving)</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Dr. Lisa Park</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/s/ Dr. Lisa Park</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January 20, 2026</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Information Security Analyst (owner)</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Raymond Osei</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/s/ Raymond Osei</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January 20, 2026</w:t>
            </w:r>
          </w:p>
        </w:tc>
      </w:tr>
    </w:tbl>
    <w:p>
      <w:pPr>
        <w:pStyle w:val="Heading2"/>
        <w:spacing w:after="100" w:before="220"/>
      </w:pPr>
      <w:r>
        <w:rPr>
          <w:rFonts w:ascii="Aptos" w:cs="Aptos" w:eastAsia="Aptos" w:hAnsi="Aptos"/>
          <w:b/>
          <w:bCs/>
          <w:color w:val="1B3A5C"/>
          <w:sz w:val="26"/>
          <w:szCs w:val="26"/>
        </w:rP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600"/>
        <w:gridCol w:w="2200"/>
        <w:gridCol w:w="4260"/>
      </w:tblGrid>
      <w:tr>
        <w:trPr>
          <w:tblHeader/>
        </w:trPr>
        <w:tc>
          <w:tcPr>
            <w:tcW w:type="dxa" w:w="13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Version</w:t>
            </w:r>
          </w:p>
        </w:tc>
        <w:tc>
          <w:tcPr>
            <w:tcW w:type="dxa" w:w="1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c>
          <w:tcPr>
            <w:tcW w:type="dxa" w:w="2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Author</w:t>
            </w:r>
          </w:p>
        </w:tc>
        <w:tc>
          <w:tcPr>
            <w:tcW w:type="dxa" w:w="42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Summary of Change</w:t>
            </w:r>
          </w:p>
        </w:tc>
      </w:tr>
      <w:tr>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1.0</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January 20, 2026</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Information Security Analyst</w:t>
            </w:r>
          </w:p>
        </w:tc>
        <w:tc>
          <w:tcPr>
            <w:tcW w:type="dxa" w:w="42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Initial issue and adoption</w:t>
            </w:r>
          </w:p>
        </w:tc>
      </w:tr>
    </w:tbl>
    <w:p>
      <w:pPr>
        <w:spacing w:after="60"/>
      </w:pP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color w:val="595959"/>
        <w:sz w:val="18"/>
        <w:szCs w:val="18"/>
      </w:rPr>
      <w:t xml:space="preserve">Page </w:t>
    </w:r>
    <w:r>
      <w:rPr>
        <w:rFonts w:ascii="Aptos" w:cs="Aptos" w:eastAsia="Aptos" w:hAnsi="Aptos"/>
        <w:color w:val="595959"/>
        <w:sz w:val="18"/>
        <w:szCs w:val="18"/>
      </w:rPr>
      <w:fldChar w:fldCharType="begin"/>
      <w:instrText xml:space="preserve">PAGE</w:instrText>
      <w:fldChar w:fldCharType="separate"/>
      <w:fldChar w:fldCharType="end"/>
    </w:r>
    <w:r>
      <w:rPr>
        <w:rFonts w:ascii="Aptos" w:cs="Aptos" w:eastAsia="Aptos" w:hAnsi="Aptos"/>
        <w:color w:val="595959"/>
        <w:sz w:val="18"/>
        <w:szCs w:val="18"/>
      </w:rPr>
      <w:t xml:space="preserve"> of </w:t>
    </w:r>
    <w:r>
      <w:rPr>
        <w:rFonts w:ascii="Aptos" w:cs="Aptos" w:eastAsia="Aptos" w:hAnsi="Aptos"/>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3A5C" w:sz="6" w:space="2"/>
      </w:pBdr>
      <w:jc w:val="right"/>
    </w:pPr>
    <w:r>
      <w:rPr>
        <w:rFonts w:ascii="Aptos" w:cs="Aptos" w:eastAsia="Aptos" w:hAnsi="Aptos"/>
        <w:color w:val="595959"/>
        <w:sz w:val="16"/>
        <w:szCs w:val="16"/>
      </w:rPr>
    </w:r>
  </w:p>
  <w:p>
    <w:r>
      <w:drawing>
        <wp:anchor xmlns:a="http://schemas.openxmlformats.org/drawingml/2006/main" behindDoc="1" distT="0" distB="0" distL="0" distR="0" simplePos="0" locked="0" layoutInCell="1" allowOverlap="1" relativeHeight="0">
          <wp:simplePos x="0" y="0"/>
          <wp:positionH relativeFrom="page">
            <wp:align>center</wp:align>
          </wp:positionH>
          <wp:positionV relativeFrom="page">
            <wp:align>center</wp:align>
          </wp:positionV>
          <wp:extent cx="5943600" cy="5943600"/>
          <wp:effectExtent l="0" t="0" r="0" b="0"/>
          <wp:wrapNone/>
          <wp:docPr id="990" name="SampleWatermark"/>
          <wp:cNvGraphicFramePr/>
          <a:graphic xmlns:pic="http://schemas.openxmlformats.org/drawingml/2006/picture">
            <a:graphicData uri="http://schemas.openxmlformats.org/drawingml/2006/picture">
              <pic:pic>
                <pic:nvPicPr>
                  <pic:cNvPr id="0" name="_sample_wm.png"/>
                  <pic:cNvPicPr/>
                </pic:nvPicPr>
                <pic:blipFill>
                  <a:blip r:embed="rId1"/>
                  <a:stretch>
                    <a:fillRect/>
                  </a:stretch>
                </pic:blipFill>
                <pic:spPr>
                  <a:xfrm>
                    <a:off x="0" y="0"/>
                    <a:ext cx="5943600" cy="5943600"/>
                  </a:xfrm>
                  <a:prstGeom prst="rect"/>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00" w:hanging="320"/>
      </w:pPr>
    </w:lvl>
  </w:abstractNum>
  <w:abstractNum w:abstractNumId="3" w15:restartNumberingAfterBreak="0">
    <w:multiLevelType w:val="hybridMultilevel"/>
    <w:lvl w:ilvl="0" w15:tentative="1">
      <w:start w:val="1"/>
      <w:numFmt w:val="decimal"/>
      <w:lvlText w:val="%1."/>
      <w:lvlJc w:val="left"/>
      <w:pPr>
        <w:ind w:left="600" w:hanging="320"/>
      </w:pPr>
    </w:lvl>
  </w:abstractNum>
  <w:abstractNum w:abstractNumId="4" w15:restartNumberingAfterBreak="0">
    <w:multiLevelType w:val="hybridMultilevel"/>
    <w:lvl w:ilvl="0" w15:tentative="1">
      <w:start w:val="1"/>
      <w:numFmt w:val="bullet"/>
      <w:lvlText w:val="•"/>
      <w:lvlJc w:val="left"/>
      <w:pPr>
        <w:ind w:left="600" w:hanging="320"/>
      </w:pPr>
    </w:lvl>
  </w:abstractNum>
  <w:abstractNum w:abstractNumId="5" w15:restartNumberingAfterBreak="0">
    <w:multiLevelType w:val="hybridMultilevel"/>
    <w:lvl w:ilvl="0" w15:tentative="1">
      <w:start w:val="1"/>
      <w:numFmt w:val="bullet"/>
      <w:lvlText w:val="•"/>
      <w:lvlJc w:val="left"/>
      <w:pPr>
        <w:ind w:left="600" w:hanging="320"/>
      </w:pPr>
    </w:lvl>
  </w:abstractNum>
  <w:abstractNum w:abstractNumId="6" w15:restartNumberingAfterBreak="0">
    <w:multiLevelType w:val="hybridMultilevel"/>
    <w:lvl w:ilvl="0" w15:tentative="1">
      <w:start w:val="1"/>
      <w:numFmt w:val="decimal"/>
      <w:lvlText w:val="%1."/>
      <w:lvlJc w:val="left"/>
      <w:pPr>
        <w:ind w:left="600" w:hanging="320"/>
      </w:pPr>
    </w:lvl>
  </w:abstractNum>
  <w:abstractNum w:abstractNumId="7" w15:restartNumberingAfterBreak="0">
    <w:multiLevelType w:val="hybridMultilevel"/>
    <w:lvl w:ilvl="0" w15:tentative="1">
      <w:start w:val="1"/>
      <w:numFmt w:val="decimal"/>
      <w:lvlText w:val="%1."/>
      <w:lvlJc w:val="left"/>
      <w:pPr>
        <w:ind w:left="600" w:hanging="320"/>
      </w:pPr>
    </w:lvl>
  </w:abstractNum>
  <w:abstractNum w:abstractNumId="8" w15:restartNumberingAfterBreak="0">
    <w:multiLevelType w:val="hybridMultilevel"/>
    <w:lvl w:ilvl="0" w15:tentative="1">
      <w:start w:val="1"/>
      <w:numFmt w:val="decimal"/>
      <w:lvlText w:val="%1."/>
      <w:lvlJc w:val="left"/>
      <w:pPr>
        <w:ind w:left="600" w:hanging="320"/>
      </w:pPr>
    </w:lvl>
  </w:abstractNum>
  <w:abstractNum w:abstractNumId="9" w15:restartNumberingAfterBreak="0">
    <w:multiLevelType w:val="hybridMultilevel"/>
    <w:lvl w:ilvl="0" w15:tentative="1">
      <w:start w:val="1"/>
      <w:numFmt w:val="bullet"/>
      <w:lvlText w:val="•"/>
      <w:lvlJc w:val="left"/>
      <w:pPr>
        <w:ind w:left="600" w:hanging="320"/>
      </w:pPr>
    </w:lvl>
  </w:abstractNum>
  <w:abstractNum w:abstractNumId="10" w15:restartNumberingAfterBreak="0">
    <w:multiLevelType w:val="hybridMultilevel"/>
    <w:lvl w:ilvl="0" w15:tentative="1">
      <w:start w:val="1"/>
      <w:numFmt w:val="bullet"/>
      <w:lvlText w:val="•"/>
      <w:lvlJc w:val="left"/>
      <w:pPr>
        <w:ind w:left="600" w:hanging="320"/>
      </w:pPr>
    </w:lvl>
  </w:abstractNum>
  <w:abstractNum w:abstractNumId="11" w15:restartNumberingAfterBreak="0">
    <w:multiLevelType w:val="hybridMultilevel"/>
    <w:lvl w:ilvl="0" w15:tentative="1">
      <w:start w:val="1"/>
      <w:numFmt w:val="bullet"/>
      <w:lvlText w:val="•"/>
      <w:lvlJc w:val="left"/>
      <w:pPr>
        <w:ind w:left="600" w:hanging="320"/>
      </w:pPr>
    </w:lvl>
  </w:abstractNum>
  <w:abstractNum w:abstractNumId="12" w15:restartNumberingAfterBreak="0">
    <w:multiLevelType w:val="hybridMultilevel"/>
    <w:lvl w:ilvl="0" w15:tentative="1">
      <w:start w:val="1"/>
      <w:numFmt w:val="bullet"/>
      <w:lvlText w:val="•"/>
      <w:lvlJc w:val="left"/>
      <w:pPr>
        <w:ind w:left="600" w:hanging="320"/>
      </w:pPr>
    </w:lvl>
  </w:abstractNum>
  <w:num w:numId="1">
    <w:abstractNumId w:val="1"/>
    <w:lvlOverride w:ilvl="0">
      <w:startOverride w:val="1"/>
    </w:lvlOverride>
  </w:num>
  <w:num w:numId="2">
    <w:abstractNumId w:val="12"/>
    <w:lvlOverride w:ilvl="0">
      <w:startOverride w:val="1"/>
    </w:lvlOverride>
  </w:num>
  <w:num w:numId="3">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ptos" w:cs="Aptos" w:eastAsia="Aptos" w:hAnsi="Aptos"/>
      <w:b/>
      <w:bCs/>
      <w:color w:val="1B3A5C"/>
      <w:sz w:val="32"/>
      <w:szCs w:val="32"/>
    </w:rPr>
  </w:style>
  <w:style w:type="paragraph" w:styleId="Heading2">
    <w:name w:val="Heading 2"/>
    <w:basedOn w:val="Normal"/>
    <w:next w:val="Normal"/>
    <w:qFormat/>
    <w:pPr>
      <w:spacing w:after="100" w:before="220"/>
      <w:outlineLvl w:val="1"/>
    </w:pPr>
    <w:rPr>
      <w:rFonts w:ascii="Aptos" w:cs="Aptos" w:eastAsia="Aptos" w:hAnsi="Aptos"/>
      <w:b/>
      <w:bCs/>
      <w:color w:val="1B3A5C"/>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Id900"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2026-06-01T15:29:11.465Z</dcterms:created>
  <dcterms:modified xsi:type="dcterms:W3CDTF">2026-06-01T15:29:11.465Z</dcterms:modified>
</cp:coreProperties>
</file>

<file path=docProps/custom.xml><?xml version="1.0" encoding="utf-8"?>
<Properties xmlns="http://schemas.openxmlformats.org/officeDocument/2006/custom-properties" xmlns:vt="http://schemas.openxmlformats.org/officeDocument/2006/docPropsVTypes"/>
</file>