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security coordinator, the shared county IT team,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redundant call-handling and CAD systems, the dual ESInet connections, the logging and recording systems, the firewalls and network, and the mixed cloud and on-premises infrastructure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logged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and CAD systems, the ESInet connections, the cloud applications, and the systems that authenticate or administer them log security-relevant events continuously and forward them to the center’s log collector.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online and archived for a further year.</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log collector restricts access to county IT and the security coordinator.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security coordinator reviews collected logs weekly and after any incident, and county IT tunes the collection rules quarterly.</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Wabash Valley Communications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cloud SSO,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collector; kept twelve months online plus one year archived; reviewed weekly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(firewalls, network, servers, endpoints)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collector; kept twelve months; reviewed weekly.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monthly.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forward to a central collector that ordinary users cannot reach. County IT restricts access to the collector and applies a write-once retention policy on the archive.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collected logs weekly, analyzes anomalies,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secures the collector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forward them to the collector.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security coordinator confirms quarterly that logging is on and that the weekly reviews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on-premises server cannot forward to the collector, so county IT collects its logs manually each week.</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Wabash Valley Communications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