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_hickory.png"/>
                    <pic:cNvPicPr/>
                  </pic:nvPicPr>
                  <pic:blipFill>
                    <a:blip r:embed="rId90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 xml:space="preserve">Risk Assessment Procedure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Adopted by Tri-River Regional 911 Center under the authority of Dr. Lisa Park, Executive Director.</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Version: 1.0    Effective Date: January 20, 2026    Next Review: January 20, 2027</w:t>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r>
              <w:rPr>
                <w:rFonts w:ascii="Aptos" w:cs="Aptos" w:eastAsia="Aptos" w:hAnsi="Aptos"/>
                <w:b/>
                <w:bCs/>
                <w:i w:val="false"/>
                <w:iCs w:val="false"/>
                <w:sz w:val="24"/>
                <w:szCs w:val="24"/>
              </w:rPr>
              <w:t xml:space="preserve"/>
            </w:r>
            <w:r>
              <w:rPr>
                <w:rFonts w:ascii="Aptos" w:cs="Aptos" w:eastAsia="Aptos" w:hAnsi="Aptos"/>
                <w:b w:val="false"/>
                <w:bCs w:val="false"/>
                <w:i w:val="false"/>
                <w:iCs w:val="false"/>
                <w:sz w:val="24"/>
                <w:szCs w:val="24"/>
              </w:rPr>
              <w:t xml:space="preserve"/>
            </w:r>
          </w:p>
          <w:p>
            <w:pPr>
              <w:spacing w:after="60"/>
            </w:pPr>
            <w:r>
              <w:rPr>
                <w:rFonts w:ascii="Aptos" w:cs="Aptos" w:eastAsia="Aptos" w:hAnsi="Aptos"/>
                <w:b/>
                <w:bCs/>
                <w:i w:val="false"/>
                <w:iCs w:val="false"/>
                <w:sz w:val="24"/>
                <w:szCs w:val="24"/>
              </w:rPr>
              <w:t xml:space="preserve">Owner: Information Security Analyst</w:t>
            </w:r>
            <w:r>
              <w:rPr>
                <w:rFonts w:ascii="Aptos" w:cs="Aptos" w:eastAsia="Aptos" w:hAnsi="Aptos"/>
                <w:b w:val="false"/>
                <w:bCs w:val="false"/>
                <w:i w:val="false"/>
                <w:iCs w:val="false"/>
                <w:sz w:val="24"/>
                <w:szCs w:val="24"/>
              </w:rPr>
              <w:t xml:space="preserve"/>
            </w:r>
          </w:p>
          <w:p>
            <w:pPr>
              <w:spacing w:after="20"/>
            </w:pPr>
            <w:r>
              <w:rPr>
                <w:rFonts w:ascii="Aptos" w:cs="Aptos" w:eastAsia="Aptos" w:hAnsi="Aptos"/>
                <w:b/>
                <w:bCs/>
                <w:i w:val="false"/>
                <w:iCs w:val="false"/>
                <w:sz w:val="24"/>
                <w:szCs w:val="24"/>
              </w:rPr>
              <w:t xml:space="preserve">Classification: Internal</w:t>
            </w:r>
            <w:r>
              <w:rPr>
                <w:rFonts w:ascii="Aptos" w:cs="Aptos" w:eastAsia="Aptos" w:hAnsi="Aptos"/>
                <w:b w:val="false"/>
                <w:bCs w:val="false"/>
                <w:i w:val="false"/>
                <w:iCs w:val="false"/>
                <w:sz w:val="24"/>
                <w:szCs w:val="24"/>
              </w:rPr>
              <w:t xml:space="preserve"/>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procedure is the repeatable method Tri-River Regional 911 Center uses to run a risk assessment. It implements the Risk Management Methodology Standard, applies its scales and appetite, and produces the Risk Assessment Report that feeds the Risk Register. Run it at least annually and after any major system change or significant incident.</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Executive Director or assigned security coordinator who runs the assessment, with input from IT support and dispatch supervisors.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risk assessment of the Agency's mission-critical public-safety systems, including facility and environmental hazards that threaten service.</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setting the risk appetite and scales, which are fixed in the Risk Management Methodology Standard. None.</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Master Asset Inventory and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current Risk Management Methodology Standard: its appetite statement, scoring scales, and in-scope threat vectors.</w:t>
      </w:r>
    </w:p>
    <w:p>
      <w:pPr>
        <w:pStyle w:val="ListParagraph"/>
        <w:numPr>
          <w:ilvl w:val="0"/>
          <w:numId w:val="3"/>
        </w:numPr>
        <w:spacing w:after="60"/>
      </w:pPr>
      <w:r>
        <w:rPr>
          <w:rFonts w:ascii="Aptos" w:cs="Aptos" w:eastAsia="Aptos" w:hAnsi="Aptos"/>
          <w:b w:val="false"/>
          <w:bCs w:val="false"/>
          <w:i w:val="false"/>
          <w:iCs w:val="false"/>
          <w:sz w:val="24"/>
          <w:szCs w:val="24"/>
        </w:rPr>
        <w:t xml:space="preserve">Input from IT support and dispatch supervisors, plus any recent Vulnerability Assessment Reports or incident records.</w:t>
      </w:r>
    </w:p>
    <w:p>
      <w:pPr>
        <w:pStyle w:val="Heading2"/>
        <w:spacing w:after="100" w:before="220"/>
      </w:pPr>
      <w:r>
        <w:rPr>
          <w:rFonts w:ascii="Aptos" w:cs="Aptos" w:eastAsia="Aptos" w:hAnsi="Aptos"/>
          <w:b/>
          <w:bCs/>
          <w:color w:val="1B3A5C"/>
          <w:sz w:val="26"/>
          <w:szCs w:val="26"/>
        </w:rPr>
        <w:t xml:space="preserve">4. Procedure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Set scope: list the systems and facilities to assess, drawn from the Master Asset Inventory and the criticality ranking.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Identify threats and failure modes for each in-scope system, covering the threat vectors named in the Standard plus facility and environmental hazards.</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with the IT team</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likelihood for each risk using the Standard's likelihood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Score impact against service availability, data, and life safety using the Standard's impact scale.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with the Operations Supervisor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Rate each risk by combining likelihood and impact, and compare it to the stated risk appetite.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each assessed risk in the Risk Register and open treatment items in the Risk / Finding Register (POA&amp;M).</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Write up the assessment as the Risk Assessment Report and present the results to the Executive Director.</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and Executive 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b w:val="false"/>
          <w:bCs w:val="false"/>
          <w:i w:val="false"/>
          <w:iCs w:val="false"/>
          <w:sz w:val="24"/>
          <w:szCs w:val="24"/>
        </w:rPr>
        <w:t xml:space="preserve">Every in-scope system from the Master Asset Inventory has at least one scored risk in the Risk Register; each risk carries a likelihood and impact rating from the Standard's scales; and any risk above appetite has a treatment item or a recorded deviation. The completed Risk Assessment Report is signed by the Executive Director.</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b w:val="false"/>
          <w:bCs w:val="false"/>
          <w:i w:val="false"/>
          <w:iCs w:val="false"/>
          <w:sz w:val="24"/>
          <w:szCs w:val="24"/>
        </w:rPr>
        <w:t xml:space="preserve">Risk Management Methodology Standard; Master Asset Inventory; Asset Criticality Ranking Matrix; Risk Register; Risk / Finding Register (POA&amp;M); Risk Assessment Report; Vulnerability Assessment Reports.</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security role runs this on a set schedule across both centers, draws on vulnerability scans and continuous-monitoring data, and reports assessed risk to leadership.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 xml:space="preserve">NENA-STA-040.2-2024: §4.2.1, §4.3.1</w:t>
            </w:r>
          </w:p>
          <w:p>
            <w:pPr>
              <w:spacing w:after="40" w:before="0"/>
            </w:pPr>
            <w:r>
              <w:rPr>
                <w:rFonts w:ascii="Aptos" w:cs="Aptos" w:eastAsia="Aptos" w:hAnsi="Aptos"/>
                <w:b w:val="false"/>
                <w:bCs w:val="false"/>
                <w:i w:val="false"/>
                <w:iCs w:val="false"/>
                <w:sz w:val="24"/>
                <w:szCs w:val="24"/>
              </w:rPr>
              <w:t xml:space="preserve">NIST SP 800-53 Rev. 5: RA-3, RA-7, PM-9</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Executive Director (approving)</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Dr.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(owner)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Raymond Osei</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 Raymond Osei</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January 20,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January 20,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1"/>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90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