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Cybersecurity Governance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Anthony Reyes,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April 7, 2026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April 7,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establishes the governance body that sets cybersecurity and privacy priorities for Wabash Valley Communications, oversees the security program, and keeps it aligned with the center’s 9-1-1 mission and its legal obligations. As a consolidated multi-county center, the program also answers to a governing board drawn from the member counties.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Strategic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Protect the redundant systems and data the center uses to receive and dispatch 9-1-1 calls for its member counties.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the security program matched to the center’s risks and the resources the member counties provide.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Meet the center’s CJIS, IDACS, and Indiana obligations.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a named owner accountable for each part of the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Director, the security coordinator, the shared county IT lead, and the shift supervisors who carry security duties.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center’s security priorities, policies, risk decisions, metrics, and reporting to the governing 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day-to-day dispatch operations, which the committee oversees but does not run.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Governance body: the Wabash Valley Communications Cybersecurity Committee named in this charter, reporting to the member-county governing board.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Wabash Valley Communications maintains a Cybersecurity Committee with the authority to set security and privacy priorities and to approve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reviews security metrics, risk status, and incident reports each quarter and reports a summary to the governing board.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confirms the program aligns with the center’s 9-1-1 goals and its legal and regulatory duties.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serves as executive sponsor, accountable for the program and the resources the member counties provide.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Governance Body: Composition, Cadence &amp; Authority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Seat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Held by (role)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 / Chair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(Anthony Reyes)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Part-time security coordinator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lead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Operations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Shift supervisor (rotating)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Member-county liaison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Designated county representative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committee meets quarterly and on call after a significant incident. With five seats, a quorum is three. It sets priorities, approves policies, and accepts or escalates risk. A decision it cannot resolve, or one that needs funding, is escalated to the member-county governing board. The cadence and the reports it reviews are tracked in the Governance Reporting Calendar, and its decisions are recorded in the Leadership Security Review Meeting Minutes.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(Anthony Reyes)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Chairs the committee, owns the program, and secures resources from the member counties.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program day to day and reports status, risk, and incidents to the committee.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Implements the committee’s decisions and reports technical status.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Shift supervisors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Bring the operations view and relay staff concerns.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 policies the committee approves.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Committed Resources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Wabash Valley Communications commits the part-time security coordinator, a share of the county IT team’s time, and the center’s security tooling, funded through the member-county cost-share. The dated detail is recorded in the Cybersecurity Budget &amp; Resource Allocation Record.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holds each role owner accountable for the duties in this charter. A missed obligation is raised at the next quarterly meeting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Director may approve a temporary change to the committee’s membership or cadence, stating the reason and an expiry date, reviewed each year.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is reviewed at least annually and after any significant change to the center’s structure or mission, by the Director. It was last adopted on April 7, 2026.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standing committee of the director, a security coordinator, and county IT meets quarterly and reports to the county board.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§4.1, §4.1.1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PM-1, PM-2, PM-3, PM-9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 (Executive Sponsor)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Committee Chair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 and adoption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