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 / CJIS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Hickory County 911, what each does, and the screening and training each requires. It extends the RACI Matrix for Cybersecurity into job-description detail and confirms the center has enough trained people, in-house or contracted, to run its security program. At this size most roles fall to two people and a contractor.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 at the center, whether filled by the Director, county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dispatch duties with no security responsibility beyond following the Acceptable Use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center systems or data.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 (Director)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Board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program, maintains policies, coordinates incident response, and chairs the Security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annual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vendor and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 monthly, triages anything unusual, and escalates to the Director.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basic monitoring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with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Incident Response Plan, contains and recovers, and makes the IOT and CJIS notifications.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incident-response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reviewer (contracted)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of center operations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the annual access and control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audit experience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At Hickory County 911 the Director and the county IT technician hold most of these roles between them, and the independent review is contracted through the county. Where a role is contracted, the service agreement carries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confirms each year that every duty above is assigned to a named, trained person or contractor, and that four capabilities are covered: secure configuration, monitoring, incident response, and audit. Configuration and monitoring sit with county IT; incident response is shared by the Director and county IT; the annual audit is contracted because no one in the center is independent of operations. That arrangement is recorded in the IT Support Accountability Agreement. The center’s current gap, a single point of failure if the county IT technician is unavailable, is recorded as a finding, and a backup technical contact at the CAD vendor is being arranged.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arrangement where a role is shared or contracted differently than described, naming who covers the duty and for how long,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center staffing, systems, or applicable law, by the Director. It was last adopted on February 17,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through IDACS at the co-located Sheriff’s Office,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