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i w:val="false"/>
          <w:iCs w:val="false"/>
          <w:color w:val="1B3A5C"/>
          <w:sz w:val="40"/>
          <w:szCs w:val="40"/>
        </w:rPr>
        <w:t xml:space="preserve">Data Labeling Procedures</w:t>
      </w:r>
    </w:p>
    <w:p>
      <w:pPr>
        <w:spacing w:after="140"/>
      </w:pPr>
      <w:r>
        <w:rPr>
          <w:rFonts w:ascii="Aptos" w:cs="Aptos" w:eastAsia="Aptos" w:hAnsi="Aptos"/>
          <w:b w:val="false"/>
          <w:bCs w:val="false"/>
          <w:i/>
          <w:iCs/>
          <w:color w:val="595959"/>
          <w:sz w:val="24"/>
          <w:szCs w:val="24"/>
        </w:rPr>
        <w:t xml:space="preserve">Tri-River Regional 911 Center   ·   Worked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Adopted by Tri-River Regional 911 Center under the authority of Dr. Lisa Park, Director.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2027-06-01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Apply and maintain classification labels on Tri-River Regional 911 Center data so that handling, access, retention, and disposal follow the data's sensitivity. Labels are applied when data is created or received and reviewed whenever data moves.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Applies to: all personnel who create, receive, or move Agency data, including dispatchers, supervisors, administrative staff, IT team, and vendors with data access.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Covers: data created internally, data received from external parties, and data moved across departments or to partners, in any form (electronic, recorded audio, paper, removable media).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Excludes: transitory working notes with no retention value, which are discarded at end of use.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Classification levels defined in the Data Classification Policy: Internal, Restricted, and Confidential, with examples per level.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Labeling tools in use: tool-assisted document and email labeling, label-driven access groups, and centralized logging of access denials.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Personnel have completed the data-handling element of security awareness training.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4.1  Default labels on new or internally created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On creating a document, record, or dataset, assign a classification label using the Data Classification Policy levels.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the content fits more than one level, apply the higher level.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Mark the label visibly in the document, the file or folder name, or a physical label for paper and media.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4.2  Classifying external data on receipt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On receiving data from an external party, determine its classification using the Data Classification Policy.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the sender supplied a label, map it to the Agency's levels and apply the Agency label.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classification cannot be determined, default to Restricted until reviewed.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4.3  Label review when data moves across departments or to partners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Before sending data to another department or an external partner, confirm the current label is still correct.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Re-label if combining or extracting data changes its sensitivity (for example, aggregating call records into a report).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Confirm the receiving party is authorized for that classification before releasing; record the transfer where required.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4.4  How labels drive system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Map each label to its handling rules: access permissions, encryption, storage location, transmission method, and retention.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IT team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Configure access so label-based permissions are enforced and access denials are logged.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IT team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Review label-to-control mappings on the policy review cycle and after system changes.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New and received data carries a visible, correct label; spot checks find no unlabeled items.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Label-based access controls are in force and access denials are recorded, so an unauthorized attempt against a higher-classification item produces a logged denial. Reference: Data Access Monitoring Policy.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Data Classification Policy; Data Access Monitoring Policy; Data Retention Schedule; Document Handling Standard; Data Inventory / Data Map.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The Tri-River Regional 911 Center is a Large-profile PSAP (38 dispatchers, a dedicated IT team, a part-time information security analyst). Labeling is tool-assisted, label-driven access groups enforce permissions, and access denials are logged centrally and reviewed by the Information Security Analyst.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80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numerically. No padding.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NENA-STA-040.2-2024: §4.1.4.1, §4.2.2.1, §4.2.2.3, §4.2.2.4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NIST SP 800-53 Rev. 5: AC-3, AC-16, MP-3, RA-2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(on file)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(on file)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Initial issue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ca3f537467aa9aa44e3edde6594d7bf545fb29a.png"/><Relationship Id="rId1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2ca3f537467aa9aa44e3edde6594d7bf545fb29a.png"/><Relationship Id="rId2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2026-06-04T20:32:00.525Z</dcterms:created>
  <dcterms:modified xsi:type="dcterms:W3CDTF">2026-06-04T20:32:00.525Z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