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Information Security Analyst</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b w:val="false"/>
          <w:bCs w:val="false"/>
          <w:i w:val="false"/>
          <w:iCs w:val="false"/>
          <w:sz w:val="24"/>
          <w:szCs w:val="24"/>
        </w:rPr>
        <w:t>This record documents Tri-River Regional 911 Center's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Password policy</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15-char minimum, 60-day rotation, 5-try lockout, GPO plus screen lock</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Enforced and scanned weekly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Least-functionality build; ports per the service catalog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Deviations logged in the CMDB</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Remote management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SSH with TACACS+, bastion only; managed as configuration-as-code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Enforced through automation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Full syslog and flow data to the SIEM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Continuous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 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Lock after 3 failed logins for 30 minutes; hardware-token MFA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Stricter than vendor default</w:t>
            </w:r>
          </w:p>
        </w:tc>
      </w:tr>
    </w:tbl>
    <w:p>
      <w:pPr>
        <w:pStyle w:val="Heading2"/>
        <w:spacing w:after="100" w:before="220"/>
      </w:pPr>
      <w:r>
        <w:rPr>
          <w:rFonts w:ascii="Aptos" w:cs="Aptos" w:eastAsia="Aptos" w:hAnsi="Aptos"/>
          <w:b/>
          <w:bCs/>
          <w:color w:val="1B3A5C"/>
          <w:sz w:val="26"/>
          <w:szCs w:val="26"/>
        </w:rPr>
        <w:t>4. Network Zones and ACLs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and call-handling across both centers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and CAD; internet denied; traffic inspected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CR-2026-008</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Segmented per center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 / DMZ</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Public-facing and back-end servers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 the firewall ruleset; DMZ isolated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CR-2026-008</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Management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and security admin</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Bastion-only, MFA, fully logged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CR-2026-008</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r>
          </w:p>
        </w:tc>
      </w:tr>
    </w:tbl>
    <w:p>
      <w:pPr>
        <w:pStyle w:val="Heading2"/>
        <w:spacing w:after="100" w:before="220"/>
      </w:pPr>
      <w:r>
        <w:rPr>
          <w:rFonts w:ascii="Aptos" w:cs="Aptos" w:eastAsia="Aptos" w:hAnsi="Aptos"/>
          <w:b/>
          <w:bCs/>
          <w:color w:val="1B3A5C"/>
          <w:sz w:val="26"/>
          <w:szCs w:val="26"/>
        </w:rPr>
        <w:t xml:space="preserve">5. Validation and Review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quarterly and after any change, by the the Information Security Analyst.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Baselines are managed through a configuration-management tool, version-controlled and enforced automatically, with drift surfaced through the drift records.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