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Background Check &amp; Screening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Anthony Reyes, Director</w:t>
            </w:r>
            <w:r>
              <w:rPr>
                <w:rFonts w:ascii="Aptos" w:cs="Aptos" w:eastAsia="Aptos" w:hAnsi="Aptos"/>
                <w:b w:val="false"/>
                <w:bCs w:val="false"/>
                <w:i w:val="false"/>
                <w:iCs w:val="false"/>
                <w:sz w:val="24"/>
                <w:szCs w:val="24"/>
              </w:rPr>
              <w:t>.</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Security Coordinator   </w:t>
            </w:r>
          </w:p>
          <w:p>
            <w:pPr>
              <w:spacing w:after="20"/>
            </w:pPr>
            <w:r>
              <w:rPr>
                <w:rFonts w:ascii="Aptos" w:hAnsi="Aptos"/>
                <w:b/>
                <w:sz w:val="24"/>
              </w:rPr>
              <w:t xml:space="preserve">Classification: </w:t>
            </w:r>
            <w:r>
              <w:rPr>
                <w:rFonts w:ascii="Aptos" w:hAnsi="Aptos"/>
                <w:b w:val="0"/>
                <w:sz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Wabash Valley Communications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all dispatcher and call-taker positions, supervisors, the security coordinator, and shared county IT staff with access to ECC systems.</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every two years, and on the cadence IDACS requires for CJIS-regulated access,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Wabash Valley Communications.</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Director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Wabash Valley Communications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Only the Director may grant a time-limited exception, in writing, with a documented compensating control such as continuous escort. Exceptions are logged and expire on 30 days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change to CJIS screening requirements or Indiana statute, by the Security Coordinator.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coordinator or HR contact runs screening and tracks rescreening dates; the director adjudicates adverse findings. Contractor screening clauses go into vendor agreements managed by the shared-services or county contracts office.</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