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Executive 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Tri-River Regional 911 Center's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both physical centers: the NG911 core, the dual CAD systems, RMS, GIS, ALI, the radio and video subsystems, and all supporting endpoints.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partner public-safety systems reached only through governed external interconnections, which their owners administer.</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Tri-River Regional 911 Center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Executive Director approves the inventory, and it is reviewed at least quarterly.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Executive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Executive Director monitors compliance with this policy. Violations are handled under the Agency's the Center's personnel and progressive-discipline policy.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Executive Director. A request must state the control affected, the reason, any compensating measures, and an end date. Approved exceptions are recorded in the Risk Register and reviewed at least quarterly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Executive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policy as part of a formal program. The information security role maintains the inventory, the control-to-risk mapping, and the exception register, and reports policy status to leadership on a set schedule.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