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Anthony Reyes,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is Wabash Valley Communications's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the center owns or operates to support 9-1-1 call handling and dispatch across its member counties: the redundant CAD and ESInet pair, the mixed cloud and on-prem servers, the logging recorder, and GIS. It covers CJIS-regulated data accessed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records systems that individual member agencies operate under their own authority.</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Wabash Valley Communications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Director approves the inventory, and it is reviewed at least semiannually.</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Director.</w:t>
      </w:r>
    </w:p>
    <w:p>
      <w:pPr>
        <w:pStyle w:val="Heading2"/>
        <w:spacing w:after="100" w:before="220"/>
      </w:pPr>
      <w:r>
        <w:rPr>
          <w:rFonts w:ascii="Aptos" w:cs="Aptos" w:eastAsia="Aptos" w:hAnsi="Aptos"/>
          <w:b/>
          <w:bCs/>
          <w:color w:val="1B3A5C"/>
          <w:sz w:val="26"/>
          <w:szCs w:val="26"/>
        </w:rPr>
        <w:t>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 (three-person team across departments)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20" w:before="0"/>
      </w:pPr>
      <w:r>
        <w:rPr>
          <w:rFonts w:ascii="Aptos" w:cs="Aptos" w:eastAsia="Aptos" w:hAnsi="Aptos"/>
          <w:b w:val="false"/>
          <w:bCs w:val="false"/>
          <w:i w:val="false"/>
          <w:iCs w:val="false"/>
          <w:sz w:val="24"/>
          <w:szCs w:val="24"/>
        </w:rPr>
        <w:t>The Director monitors compliance with this policy. Violations are handled under the Agency's the county's personnel and corrective-action process.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20" w:before="0"/>
      </w:pPr>
      <w:r>
        <w:rPr>
          <w:rFonts w:ascii="Aptos" w:cs="Aptos" w:eastAsia="Aptos" w:hAnsi="Aptos"/>
          <w:b w:val="false"/>
          <w:bCs w:val="false"/>
          <w:i w:val="false"/>
          <w:iCs w:val="false"/>
          <w:sz w:val="24"/>
          <w:szCs w:val="24"/>
        </w:rPr>
        <w:t>Exceptions to this policy require written approval from the Director. A request must state the control affected, the reason, any compensating measures, and an end date. Approved exceptions are recorded in the Risk Register and reviewed at least semiannually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Director. Each review and approval is recorded in the Policy Review &amp; Approval Log.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Assign a named security coordinator to keep the asset inventory current and track exceptions. Tie enforcement to the county's corrective-action process. Review twice a year if systems change often.</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 xml:space="preserve">    240 IAC 5: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