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Cybersecurity Governance Charter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February 17, 2026    </w:t>
            </w:r>
            <w:r>
              <w:rPr>
                <w:rFonts w:ascii="Aptos" w:cs="Aptos" w:eastAsia="Aptos" w:hAnsi="Aptos"/>
                <w:b/>
                <w:bCs/>
                <w:sz w:val="24"/>
                <w:szCs w:val="24"/>
              </w:rPr>
              <w:t xml:space="preserve">Next Review: </w:t>
            </w:r>
            <w:r>
              <w:rPr>
                <w:rFonts w:ascii="Aptos" w:cs="Aptos" w:eastAsia="Aptos" w:hAnsi="Aptos"/>
                <w:sz w:val="24"/>
                <w:szCs w:val="24"/>
              </w:rPr>
              <w:t xml:space="preserve">February 17,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the governance body that sets cybersecurity and privacy priorities for Hickory County 911, oversees the security program, and keeps it aligned with the center’s 9-1-1 mission and its legal obligations. At a center this size the body is small, but the accountability it creates is the same.</w:t>
      </w:r>
    </w:p>
    <w:p>
      <w:pPr>
        <w:pStyle w:val="Heading2"/>
        <w:spacing w:after="100" w:before="220"/>
      </w:pPr>
      <w:r>
        <w:rPr>
          <w:rFonts w:ascii="Aptos" w:cs="Aptos" w:eastAsia="Aptos" w:hAnsi="Aptos"/>
          <w:b/>
          <w:bCs/>
          <w:color w:val="1B3A5C"/>
          <w:sz w:val="26"/>
          <w:szCs w:val="26"/>
        </w:rPr>
        <w:t xml:space="preserve">Strategic Objectives</w:t>
      </w:r>
    </w:p>
    <w:p>
      <w:pPr>
        <w:pStyle w:val="ListParagraph"/>
        <w:numPr>
          <w:ilvl w:val="0"/>
          <w:numId w:val="2"/>
        </w:numPr>
        <w:spacing w:after="60"/>
      </w:pPr>
      <w:r>
        <w:rPr>
          <w:rFonts w:ascii="Aptos" w:cs="Aptos" w:eastAsia="Aptos" w:hAnsi="Aptos"/>
          <w:b w:val="false"/>
          <w:bCs w:val="false"/>
          <w:i w:val="false"/>
          <w:iCs w:val="false"/>
          <w:sz w:val="24"/>
          <w:szCs w:val="24"/>
        </w:rPr>
        <w:t xml:space="preserve">Protect the systems and data the center uses to receive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Keep the security program matched to the center’s risks and resources.</w:t>
      </w:r>
    </w:p>
    <w:p>
      <w:pPr>
        <w:pStyle w:val="ListParagraph"/>
        <w:numPr>
          <w:ilvl w:val="0"/>
          <w:numId w:val="2"/>
        </w:numPr>
        <w:spacing w:after="60"/>
      </w:pPr>
      <w:r>
        <w:rPr>
          <w:rFonts w:ascii="Aptos" w:cs="Aptos" w:eastAsia="Aptos" w:hAnsi="Aptos"/>
          <w:b w:val="false"/>
          <w:bCs w:val="false"/>
          <w:i w:val="false"/>
          <w:iCs w:val="false"/>
          <w:sz w:val="24"/>
          <w:szCs w:val="24"/>
        </w:rPr>
        <w:t xml:space="preserve">Meet the center’s CJIS, IDACS, and Indiana obligations.</w:t>
      </w:r>
    </w:p>
    <w:p>
      <w:pPr>
        <w:pStyle w:val="ListParagraph"/>
        <w:numPr>
          <w:ilvl w:val="0"/>
          <w:numId w:val="2"/>
        </w:numPr>
        <w:spacing w:after="60"/>
      </w:pPr>
      <w:r>
        <w:rPr>
          <w:rFonts w:ascii="Aptos" w:cs="Aptos" w:eastAsia="Aptos" w:hAnsi="Aptos"/>
          <w:b w:val="false"/>
          <w:bCs w:val="false"/>
          <w:i w:val="false"/>
          <w:iCs w:val="false"/>
          <w:sz w:val="24"/>
          <w:szCs w:val="24"/>
        </w:rPr>
        <w:t xml:space="preserve">Keep a named owner accountable for each part of the program.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the county IT technician, and the dispatch staff who carry security duties.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center’s security priorities, policies, risk decisions, and reporting.</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day-to-day dispatch operations, which the body oversees but does not run.</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Governance body: the Hickory County 911 Security Review group named in this charter, chaired by the Director.</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Hickory County 911 maintains a governance body with the authority to set security and privacy priorities and to approve policies.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body reviews security metrics, risk status, and any incidents each quarter.</w:t>
      </w:r>
    </w:p>
    <w:p>
      <w:pPr>
        <w:pStyle w:val="ListParagraph"/>
        <w:numPr>
          <w:ilvl w:val="0"/>
          <w:numId w:val="3"/>
        </w:numPr>
        <w:spacing w:after="60"/>
      </w:pPr>
      <w:r>
        <w:rPr>
          <w:rFonts w:ascii="Aptos" w:cs="Aptos" w:eastAsia="Aptos" w:hAnsi="Aptos"/>
          <w:b w:val="false"/>
          <w:bCs w:val="false"/>
          <w:i w:val="false"/>
          <w:iCs w:val="false"/>
          <w:sz w:val="24"/>
          <w:szCs w:val="24"/>
        </w:rPr>
        <w:t xml:space="preserve">The body confirms the program aligns with the center’s 9-1-1 goals and its legal and regulatory duties.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serves as executive sponsor, accountable for the program and its resources.</w:t>
      </w:r>
    </w:p>
    <w:p>
      <w:pPr>
        <w:pStyle w:val="Heading2"/>
        <w:spacing w:after="100" w:before="220"/>
      </w:pPr>
      <w:r>
        <w:rPr>
          <w:rFonts w:ascii="Aptos" w:cs="Aptos" w:eastAsia="Aptos" w:hAnsi="Aptos"/>
          <w:b/>
          <w:bCs/>
          <w:color w:val="1B3A5C"/>
          <w:sz w:val="26"/>
          <w:szCs w:val="26"/>
        </w:rPr>
        <w:t xml:space="preserve">5. Governance Body: Composition, Cadence &amp;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Seat</w:t>
            </w:r>
          </w:p>
        </w:tc>
        <w:tc>
          <w:tcPr>
            <w:tcW w:type="dxa" w:w="5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Held by (role)</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sponsor / Chair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Cybersecurity &amp; privacy lead</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Senior dispatcher</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 technician</w:t>
            </w:r>
          </w:p>
        </w:tc>
      </w:tr>
    </w:tbl>
    <w:p>
      <w:pPr>
        <w:spacing w:after="120" w:before="0"/>
      </w:pPr>
      <w:r>
        <w:rPr>
          <w:rFonts w:ascii="Aptos" w:cs="Aptos" w:eastAsia="Aptos" w:hAnsi="Aptos"/>
          <w:b w:val="false"/>
          <w:bCs w:val="false"/>
          <w:i w:val="false"/>
          <w:iCs w:val="false"/>
          <w:sz w:val="24"/>
          <w:szCs w:val="24"/>
        </w:rPr>
        <w:t xml:space="preserve">The body meets quarterly and on call after a significant incident. With four seats, a quorum is three. It sets priorities, approves policies, and accepts or escalates risk. A decision it cannot resolve is escalated to the County Board of Commissioners. The cadence and the reports it reviews are tracked in the Governance Reporting Calendar, and its decisions are recorded in the Leadership Security Review Meeting Minutes. Because the Director holds two seats at this size, the county IT representative gives an independent second view on technical risk.</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Chairs the body, owns the program, secures resources from the county budget, and also serves as the privacy lead.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Implements the body’s decisions and reports technical status.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Senior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Brings the operations view and relays staff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policies the body approves.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Hickory County 911 commits the county IT technician’s time, the center’s existing tools, and a small annual line for security needs. The dated detail is recorded in the Cybersecurity Budget &amp; Resource Allocation Record.</w:t>
      </w:r>
    </w:p>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Director holds each role owner accountable for the duties in this charter. A missed obligation is raised at the next quarterly meeting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approve a temporary change to the body’s membership or cadence, stating the reason and an expiry date, reviewed each year.</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after any significant change to the center’s structure or mission, by the Director. It was last adopted on February 17,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One body is enough. The director chairs a short quarterly review with county IT and keeps brief minutes. The director may also be the executive sponsor and the privacy lead; note where one person holds several seats.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 §4.1.1</w:t>
            </w:r>
          </w:p>
          <w:p>
            <w:r>
              <w:rPr>
                <w:rFonts w:ascii="Aptos" w:cs="Aptos" w:eastAsia="Aptos" w:hAnsi="Aptos"/>
                <w:sz w:val="24"/>
                <w:szCs w:val="24"/>
              </w:rPr>
              <w:t xml:space="preserve">NIST SP 800-53 Rev. 5: PM-1, PM-2, PM-3,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