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Hickory County 911   ·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2026-05-01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Director, with county IT (self-assessment)</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CAD, the ESInet/NGCS connection, radio and console, ALI, and the courthouse-shared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physical intrusion</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2026-02-01 to 2026-04-30</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Director</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val="false"/>
          <w:iCs w:val="false"/>
          <w:color w:val="000000"/>
          <w:sz w:val="24"/>
          <w:szCs w:val="24"/>
        </w:rPr>
        <w:t xml:space="preserve">Hickory County 911 ran its annual self-assessment with county IT support. The center's controls are basic but functional. The most important finding is the absence of multifactor authentication on remote access to the CAD vendor portal, a life-safety exposure; a single internet uplink with no failover is the main service-continuity concern. Four findings were recorded and entered into the Risk / Finding Register.</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review, document review, and a tabletop walk-through of call-handling continuity.</w:t>
      </w:r>
    </w:p>
    <w:p>
      <w:pPr>
        <w:spacing w:after="80"/>
      </w:pPr>
      <w:r>
        <w:rPr>
          <w:rFonts w:ascii="Aptos" w:cs="Aptos" w:eastAsia="Aptos" w:hAnsi="Aptos"/>
          <w:b w:val="false"/>
          <w:bCs w:val="false"/>
          <w:i w:val="false"/>
          <w:iCs w:val="false"/>
          <w:color w:val="000000"/>
          <w:sz w:val="24"/>
          <w:szCs w:val="24"/>
        </w:rPr>
        <w:t xml:space="preserve">Impact scoring: each risk is scored High, Medium, or Low on three axes (effect on service, effect on data, effect on life safety). The overall rating takes the highest axis, raised one level when two or more axes score High.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Ransomware, credential compromise on the CAD portal, loss of the single internet uplink, misconfiguration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Untrained staff, shared accounts, county IT stretched across the courthouse network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loss in the shared server closet, utility/power loss, EMP, physical intrusion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Single CAD vendor and single ESInet provider; single-carrier upstream</w:t>
            </w:r>
          </w:p>
        </w:tc>
      </w:tr>
    </w:tbl>
    <w:p>
      <w:pPr>
        <w:spacing w:after="100" w:before="220"/>
      </w:pPr>
      <w:r>
        <w:rPr>
          <w:rFonts w:ascii="Aptos" w:cs="Aptos" w:eastAsia="Aptos" w:hAnsi="Aptos"/>
          <w:b/>
          <w:bCs/>
          <w:color w:val="1B3A5C"/>
          <w:sz w:val="26"/>
          <w:szCs w:val="26"/>
        </w:rPr>
        <w:t xml:space="preserve">4.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850"/>
        <w:gridCol w:w="800"/>
        <w:gridCol w:w="1050"/>
        <w:gridCol w:w="950"/>
        <w:gridCol w:w="231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8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0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9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231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Dispatch workstations missing current OS security patches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Enable a monthly patch window with county IT</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F-02</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No multifactor on remote access to the CAD vendor portal</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Turn on MFA through the CAD vendor</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F-03</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Single ISP uplink; no failover for 9-1-1 delivery</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Price a cellular failover circuit</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F-04</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Server closet shared and unlocked</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Low</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Install a keyed lock; relocate supplies</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does not track remediation;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for handoff: the life-safety findings first (MFA on remote access, the single uplink), then the remaining items in impact order.</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val="false"/>
          <w:iCs w:val="false"/>
          <w:color w:val="000000"/>
          <w:sz w:val="24"/>
          <w:szCs w:val="24"/>
        </w:rPr>
        <w:t xml:space="preserve">Hickory County 911 is a Small-profile PSAP. An annual interview-and-checklist assessment with county IT, scored manually on the three axes, is the minimum-viable approach; no scanning tool is required. The first capability to add is basic vulnerability scanning of the CAD and workstation segment.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 (assessor and reviewer)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 2026 assessment cycle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68a5d3197f6fe6a60b4107c995a4f96b0943de.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0368a5d3197f6fe6a60b4107c995a4f96b0943de.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2026-06-04T20:32:00.571Z</dcterms:created>
  <dcterms:modified xsi:type="dcterms:W3CDTF">2026-06-04T20:32:00.571Z</dcterms:modified>
</cp:coreProperties>
</file>

<file path=docProps/custom.xml><?xml version="1.0" encoding="utf-8"?>
<Properties xmlns="http://schemas.openxmlformats.org/officeDocument/2006/custom-properties" xmlns:vt="http://schemas.openxmlformats.org/officeDocument/2006/docPropsVTypes"/>
</file>