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Wabash Valley Communications under the authority of Anthony Reyes,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February 24, 2026    Next Review: February 24,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24,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13:00 to 13:50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Wabash Valley Communications operations center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Leadership Security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Director, Wabash Valley Communications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Dana Mercer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 (part-time)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Priya Nair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Shared County IT lead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second year of the program; Risk Methodology Standard adopted; first formal risk assessment complete; SIEM tuning underway across both centers.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no incidents this quarter; SIEM flagged three brute-force attempts on the VPN, all blocked; phishing click rate down to 6%.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highest risk is lateral movement between the two sites' networks; the segmentation project is funded for FY2026.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regional ISAC advisory on ransomware targeting public safety; reviewed backup-restore readiness.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Approve the network segmentation project between the two centers in Q2.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Move quarterly phishing simulations to monthly for the next two quarters.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Scope the inter-site network segmentation project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31,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Stand up monthly phishing simulations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15,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May 26, 2026. Focus: segmentation project plan and phishing results.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on the Wabash Valley Communications secure file share.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(2021):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(Security Coordinator)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Dana Mercer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Dana Mercer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24,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February 24,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February 24,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