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Tracy Holloway,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Hickory County 911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Use the scales as written and keep the assessment light: one director-led review a year, plus a check after any major change. The appetite statement matters most; set it deliberately and hold to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