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Logging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Authority: </w:t>
            </w:r>
            <w:r>
              <w:rPr>
                <w:rFonts w:ascii="Aptos" w:cs="Aptos" w:eastAsia="Aptos" w:hAnsi="Aptos"/>
                <w:sz w:val="24"/>
                <w:szCs w:val="24"/>
              </w:rPr>
              <w:t xml:space="preserve">Adopted by Tri-River Regional 911 Center under the authority of Dr. Lisa Park, Director.</w:t>
            </w:r>
          </w:p>
          <w:p>
            <w:pPr>
              <w:spacing w:after="60"/>
            </w:pPr>
            <w:r>
              <w:rPr>
                <w:rFonts w:ascii="Aptos" w:cs="Aptos" w:eastAsia="Aptos" w:hAnsi="Aptos"/>
                <w:b/>
                <w:bCs/>
                <w:sz w:val="24"/>
                <w:szCs w:val="24"/>
              </w:rPr>
              <w:t xml:space="preserve">Version: </w:t>
            </w:r>
            <w:r>
              <w:rPr>
                <w:rFonts w:ascii="Aptos" w:cs="Aptos" w:eastAsia="Aptos" w:hAnsi="Aptos"/>
                <w:sz w:val="24"/>
                <w:szCs w:val="24"/>
              </w:rPr>
              <w:t xml:space="preserve">1.0    </w:t>
            </w:r>
            <w:r>
              <w:rPr>
                <w:rFonts w:ascii="Aptos" w:cs="Aptos" w:eastAsia="Aptos" w:hAnsi="Aptos"/>
                <w:b/>
                <w:bCs/>
                <w:sz w:val="24"/>
                <w:szCs w:val="24"/>
              </w:rPr>
              <w:t xml:space="preserve">Effective Date: </w:t>
            </w:r>
            <w:r>
              <w:rPr>
                <w:rFonts w:ascii="Aptos" w:cs="Aptos" w:eastAsia="Aptos" w:hAnsi="Aptos"/>
                <w:sz w:val="24"/>
                <w:szCs w:val="24"/>
              </w:rPr>
              <w:t xml:space="preserve">May 19, 2026    </w:t>
            </w:r>
            <w:r>
              <w:rPr>
                <w:rFonts w:ascii="Aptos" w:cs="Aptos" w:eastAsia="Aptos" w:hAnsi="Aptos"/>
                <w:b/>
                <w:bCs/>
                <w:sz w:val="24"/>
                <w:szCs w:val="24"/>
              </w:rPr>
              <w:t xml:space="preserve">Next Review: </w:t>
            </w:r>
            <w:r>
              <w:rPr>
                <w:rFonts w:ascii="Aptos" w:cs="Aptos" w:eastAsia="Aptos" w:hAnsi="Aptos"/>
                <w:sz w:val="24"/>
                <w:szCs w:val="24"/>
              </w:rPr>
              <w:t xml:space="preserve">May 19, 2027</w:t>
            </w:r>
          </w:p>
          <w:p>
            <w:pPr>
              <w:spacing w:after="60"/>
            </w:pPr>
            <w:r>
              <w:rPr>
                <w:rFonts w:ascii="Aptos" w:cs="Aptos" w:eastAsia="Aptos" w:hAnsi="Aptos"/>
                <w:b/>
                <w:bCs/>
                <w:sz w:val="24"/>
                <w:szCs w:val="24"/>
              </w:rPr>
              <w:t xml:space="preserve">Owner: </w:t>
            </w:r>
            <w:r>
              <w:rPr>
                <w:rFonts w:ascii="Aptos" w:cs="Aptos" w:eastAsia="Aptos" w:hAnsi="Aptos"/>
                <w:sz w:val="24"/>
                <w:szCs w:val="24"/>
              </w:rPr>
              <w:t xml:space="preserve">Information Security Analyst</w:t>
            </w:r>
          </w:p>
          <w:p>
            <w:r>
              <w:rPr>
                <w:rFonts w:ascii="Aptos" w:cs="Aptos" w:eastAsia="Aptos" w:hAnsi="Aptos"/>
                <w:b/>
                <w:bCs/>
                <w:sz w:val="24"/>
                <w:szCs w:val="24"/>
              </w:rPr>
              <w:t xml:space="preserve">Classification: </w:t>
            </w:r>
            <w:r>
              <w:rPr>
                <w:rFonts w:ascii="Aptos" w:cs="Aptos" w:eastAsia="Aptos" w:hAnsi="Aptos"/>
                <w:sz w:val="24"/>
                <w:szCs w:val="24"/>
              </w:rPr>
              <w:t xml:space="preserve">Internal / CJIS</w:t>
            </w:r>
          </w:p>
        </w:tc>
      </w:tr>
    </w:tbl>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 xml:space="preserve">This policy defines how Tri-River Regional 911 Center generates, protects, reviews, and analyzes logs across its emergency communications systems. It sets what is logged, who is responsible, and how long logs are kept, so the center can detect and investigate security events across both facilities.</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false"/>
          <w:bCs w:val="false"/>
          <w:i w:val="false"/>
          <w:iCs w:val="false"/>
          <w:sz w:val="24"/>
          <w:szCs w:val="24"/>
        </w:rPr>
        <w:t xml:space="preserve">Applies to: the information security analyst, the IT team, and the vendors and integration partners who operate center systems.</w:t>
      </w:r>
    </w:p>
    <w:p>
      <w:pPr>
        <w:pStyle w:val="ListParagraph"/>
        <w:numPr>
          <w:ilvl w:val="0"/>
          <w:numId w:val="2"/>
        </w:numPr>
        <w:spacing w:after="60"/>
      </w:pPr>
      <w:r>
        <w:rPr>
          <w:rFonts w:ascii="Aptos" w:cs="Aptos" w:eastAsia="Aptos" w:hAnsi="Aptos"/>
          <w:b w:val="false"/>
          <w:bCs w:val="false"/>
          <w:i w:val="false"/>
          <w:iCs w:val="false"/>
          <w:sz w:val="24"/>
          <w:szCs w:val="24"/>
        </w:rPr>
        <w:t xml:space="preserve">Covers: every system in the Master Asset Inventory across both facilities, including the NG911 call-handling environment, the CAD, RMS, GIS, video, and ALI integrations, the SIEM, network infrastructure, servers, and endpoints.</w:t>
      </w:r>
    </w:p>
    <w:p>
      <w:pPr>
        <w:pStyle w:val="ListParagraph"/>
        <w:numPr>
          <w:ilvl w:val="0"/>
          <w:numId w:val="2"/>
        </w:numPr>
        <w:spacing w:after="60"/>
      </w:pPr>
      <w:r>
        <w:rPr>
          <w:rFonts w:ascii="Aptos" w:cs="Aptos" w:eastAsia="Aptos" w:hAnsi="Aptos"/>
          <w:b w:val="false"/>
          <w:bCs w:val="false"/>
          <w:i w:val="false"/>
          <w:iCs w:val="false"/>
          <w:sz w:val="24"/>
          <w:szCs w:val="24"/>
        </w:rPr>
        <w:t xml:space="preserve">Excludes: partner-agency systems logged under their own agreements.</w:t>
      </w:r>
    </w:p>
    <w:p>
      <w:pPr>
        <w:pStyle w:val="Heading2"/>
        <w:spacing w:after="100" w:before="220"/>
      </w:pPr>
      <w:r>
        <w:rPr>
          <w:rFonts w:ascii="Aptos" w:cs="Aptos" w:eastAsia="Aptos" w:hAnsi="Aptos"/>
          <w:b/>
          <w:bCs/>
          <w:color w:val="1B3A5C"/>
          <w:sz w:val="26"/>
          <w:szCs w:val="26"/>
        </w:rPr>
        <w:t xml:space="preserve">3. Definitions</w:t>
      </w:r>
    </w:p>
    <w:p>
      <w:pPr>
        <w:spacing w:after="120" w:before="0"/>
      </w:pPr>
      <w:r>
        <w:rPr>
          <w:rFonts w:ascii="Aptos" w:cs="Aptos" w:eastAsia="Aptos" w:hAnsi="Aptos"/>
          <w:b w:val="false"/>
          <w:bCs w:val="false"/>
          <w:i w:val="false"/>
          <w:iCs w:val="false"/>
          <w:sz w:val="24"/>
          <w:szCs w:val="24"/>
        </w:rPr>
        <w:t xml:space="preserve">Security-relevant event: a login, an access to CJIS-regulated or sensitive data, a configuration change, or an account change.</w:t>
      </w:r>
    </w:p>
    <w:p>
      <w:pPr>
        <w:pStyle w:val="Heading2"/>
        <w:spacing w:after="100" w:before="220"/>
      </w:pPr>
      <w:r>
        <w:rPr>
          <w:rFonts w:ascii="Aptos" w:cs="Aptos" w:eastAsia="Aptos" w:hAnsi="Aptos"/>
          <w:b/>
          <w:bCs/>
          <w:color w:val="1B3A5C"/>
          <w:sz w:val="26"/>
          <w:szCs w:val="26"/>
        </w:rPr>
        <w:t xml:space="preserve">4. Logging Requirements</w:t>
      </w:r>
    </w:p>
    <w:p>
      <w:pPr>
        <w:pStyle w:val="ListParagraph"/>
        <w:numPr>
          <w:ilvl w:val="0"/>
          <w:numId w:val="3"/>
        </w:numPr>
        <w:spacing w:after="60"/>
      </w:pPr>
      <w:r>
        <w:rPr>
          <w:rFonts w:ascii="Aptos" w:cs="Aptos" w:eastAsia="Aptos" w:hAnsi="Aptos"/>
          <w:b w:val="false"/>
          <w:bCs w:val="false"/>
          <w:i w:val="false"/>
          <w:iCs w:val="false"/>
          <w:sz w:val="24"/>
          <w:szCs w:val="24"/>
        </w:rPr>
        <w:t xml:space="preserve">Tri-River Regional 911 Center enables logging on every system in the Master Asset Inventory, with depth scaled to each system’s criticality in the Asset Criticality Ranking Matrix.</w:t>
      </w:r>
    </w:p>
    <w:p>
      <w:pPr>
        <w:pStyle w:val="ListParagraph"/>
        <w:numPr>
          <w:ilvl w:val="0"/>
          <w:numId w:val="3"/>
        </w:numPr>
        <w:spacing w:after="60"/>
      </w:pPr>
      <w:r>
        <w:rPr>
          <w:rFonts w:ascii="Aptos" w:cs="Aptos" w:eastAsia="Aptos" w:hAnsi="Aptos"/>
          <w:b w:val="false"/>
          <w:bCs w:val="false"/>
          <w:i w:val="false"/>
          <w:iCs w:val="false"/>
          <w:sz w:val="24"/>
          <w:szCs w:val="24"/>
        </w:rPr>
        <w:t xml:space="preserve">The NG911 call-handling environment, the CAD, the ESInet connections, the integrations, and the systems that authenticate or administer them log security-relevant events continuously and forward them to the SIEM.</w:t>
      </w:r>
    </w:p>
    <w:p>
      <w:pPr>
        <w:pStyle w:val="ListParagraph"/>
        <w:numPr>
          <w:ilvl w:val="0"/>
          <w:numId w:val="3"/>
        </w:numPr>
        <w:spacing w:after="60"/>
      </w:pPr>
      <w:r>
        <w:rPr>
          <w:rFonts w:ascii="Aptos" w:cs="Aptos" w:eastAsia="Aptos" w:hAnsi="Aptos"/>
          <w:b w:val="false"/>
          <w:bCs w:val="false"/>
          <w:i w:val="false"/>
          <w:iCs w:val="false"/>
          <w:sz w:val="24"/>
          <w:szCs w:val="24"/>
        </w:rPr>
        <w:t xml:space="preserve">The center keeps each log source at least as long as the Log Retention Schedule requires; security logs are kept twelve months hot in the SIEM and archived for a further two years.</w:t>
      </w:r>
    </w:p>
    <w:p>
      <w:pPr>
        <w:pStyle w:val="ListParagraph"/>
        <w:numPr>
          <w:ilvl w:val="0"/>
          <w:numId w:val="3"/>
        </w:numPr>
        <w:spacing w:after="60"/>
      </w:pPr>
      <w:r>
        <w:rPr>
          <w:rFonts w:ascii="Aptos" w:cs="Aptos" w:eastAsia="Aptos" w:hAnsi="Aptos"/>
          <w:b w:val="false"/>
          <w:bCs w:val="false"/>
          <w:i w:val="false"/>
          <w:iCs w:val="false"/>
          <w:sz w:val="24"/>
          <w:szCs w:val="24"/>
        </w:rPr>
        <w:t xml:space="preserve">Logs are protected against alteration and deletion; the SIEM enforces role-based access and write-once archival.</w:t>
      </w:r>
    </w:p>
    <w:p>
      <w:pPr>
        <w:pStyle w:val="ListParagraph"/>
        <w:numPr>
          <w:ilvl w:val="0"/>
          <w:numId w:val="3"/>
        </w:numPr>
        <w:spacing w:after="60"/>
      </w:pPr>
      <w:r>
        <w:rPr>
          <w:rFonts w:ascii="Aptos" w:cs="Aptos" w:eastAsia="Aptos" w:hAnsi="Aptos"/>
          <w:b w:val="false"/>
          <w:bCs w:val="false"/>
          <w:i w:val="false"/>
          <w:iCs w:val="false"/>
          <w:sz w:val="24"/>
          <w:szCs w:val="24"/>
        </w:rPr>
        <w:t xml:space="preserve">The information security analyst reviews SIEM alerts daily and tunes detection rules monthly; the IT team maintains log forwarding and storage.</w:t>
      </w:r>
    </w:p>
    <w:p>
      <w:pPr>
        <w:spacing w:after="120" w:before="0"/>
      </w:pPr>
      <w:r>
        <w:rPr>
          <w:rFonts w:ascii="Aptos" w:cs="Aptos" w:eastAsia="Aptos" w:hAnsi="Aptos"/>
          <w:b w:val="false"/>
          <w:bCs w:val="false"/>
          <w:i w:val="false"/>
          <w:iCs w:val="false"/>
          <w:sz w:val="24"/>
          <w:szCs w:val="24"/>
        </w:rPr>
        <w:t xml:space="preserve">Each log record captures, at a minimum:</w:t>
      </w:r>
    </w:p>
    <w:p>
      <w:pPr>
        <w:pStyle w:val="ListParagraph"/>
        <w:numPr>
          <w:ilvl w:val="0"/>
          <w:numId w:val="2"/>
        </w:numPr>
        <w:spacing w:after="60"/>
      </w:pPr>
      <w:r>
        <w:rPr>
          <w:rFonts w:ascii="Aptos" w:cs="Aptos" w:eastAsia="Aptos" w:hAnsi="Aptos"/>
          <w:b w:val="false"/>
          <w:bCs w:val="false"/>
          <w:i w:val="false"/>
          <w:iCs w:val="false"/>
          <w:sz w:val="24"/>
          <w:szCs w:val="24"/>
        </w:rPr>
        <w:t xml:space="preserve">the date and time, synchronized to a common time source;</w:t>
      </w:r>
    </w:p>
    <w:p>
      <w:pPr>
        <w:pStyle w:val="ListParagraph"/>
        <w:numPr>
          <w:ilvl w:val="0"/>
          <w:numId w:val="2"/>
        </w:numPr>
        <w:spacing w:after="60"/>
      </w:pPr>
      <w:r>
        <w:rPr>
          <w:rFonts w:ascii="Aptos" w:cs="Aptos" w:eastAsia="Aptos" w:hAnsi="Aptos"/>
          <w:b w:val="false"/>
          <w:bCs w:val="false"/>
          <w:i w:val="false"/>
          <w:iCs w:val="false"/>
          <w:sz w:val="24"/>
          <w:szCs w:val="24"/>
        </w:rPr>
        <w:t xml:space="preserve">the user or system account involved;</w:t>
      </w:r>
    </w:p>
    <w:p>
      <w:pPr>
        <w:pStyle w:val="ListParagraph"/>
        <w:numPr>
          <w:ilvl w:val="0"/>
          <w:numId w:val="2"/>
        </w:numPr>
        <w:spacing w:after="60"/>
      </w:pPr>
      <w:r>
        <w:rPr>
          <w:rFonts w:ascii="Aptos" w:cs="Aptos" w:eastAsia="Aptos" w:hAnsi="Aptos"/>
          <w:b w:val="false"/>
          <w:bCs w:val="false"/>
          <w:i w:val="false"/>
          <w:iCs w:val="false"/>
          <w:sz w:val="24"/>
          <w:szCs w:val="24"/>
        </w:rPr>
        <w:t xml:space="preserve">the event type and the system or data affected;</w:t>
      </w:r>
    </w:p>
    <w:p>
      <w:pPr>
        <w:pStyle w:val="ListParagraph"/>
        <w:numPr>
          <w:ilvl w:val="0"/>
          <w:numId w:val="2"/>
        </w:numPr>
        <w:spacing w:after="60"/>
      </w:pPr>
      <w:r>
        <w:rPr>
          <w:rFonts w:ascii="Aptos" w:cs="Aptos" w:eastAsia="Aptos" w:hAnsi="Aptos"/>
          <w:b w:val="false"/>
          <w:bCs w:val="false"/>
          <w:i w:val="false"/>
          <w:iCs w:val="false"/>
          <w:sz w:val="24"/>
          <w:szCs w:val="24"/>
        </w:rPr>
        <w:t xml:space="preserve">whether the action succeeded or failed;</w:t>
      </w:r>
    </w:p>
    <w:p>
      <w:pPr>
        <w:pStyle w:val="ListParagraph"/>
        <w:numPr>
          <w:ilvl w:val="0"/>
          <w:numId w:val="2"/>
        </w:numPr>
        <w:spacing w:after="60"/>
      </w:pPr>
      <w:r>
        <w:rPr>
          <w:rFonts w:ascii="Aptos" w:cs="Aptos" w:eastAsia="Aptos" w:hAnsi="Aptos"/>
          <w:b w:val="false"/>
          <w:bCs w:val="false"/>
          <w:i w:val="false"/>
          <w:iCs w:val="false"/>
          <w:sz w:val="24"/>
          <w:szCs w:val="24"/>
        </w:rPr>
        <w:t xml:space="preserve">the source host or address, where the system records it.</w:t>
      </w:r>
    </w:p>
    <w:p>
      <w:pPr>
        <w:spacing w:after="120" w:before="0"/>
      </w:pPr>
      <w:r>
        <w:rPr>
          <w:rFonts w:ascii="Aptos" w:cs="Aptos" w:eastAsia="Aptos" w:hAnsi="Aptos"/>
          <w:b w:val="false"/>
          <w:bCs w:val="false"/>
          <w:i w:val="false"/>
          <w:iCs w:val="false"/>
          <w:sz w:val="24"/>
          <w:szCs w:val="24"/>
        </w:rPr>
        <w:t xml:space="preserve">Logging depth is scaled to each system’s importance: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System tier</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 logging at Tri-River Regional 911 Center</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Critical (NG911 call handling, CAD, ESInet, integrations, IDACS sign-on)</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Continuous logging forwarded to the SIEM; kept twelve months hot plus two years archived; alerts reviewed daily and after any incident.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High (servers, network, endpoints, video and GIS systems)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Logging of access, account, and configuration changes forwarded to the SIEM; kept twelve months; reviewed daily through SIEM dashboards.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Standard (low-sensitivity systems)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Vendor-default logging forwarded where supported; reviewed weekly.</w:t>
            </w:r>
          </w:p>
        </w:tc>
      </w:tr>
    </w:tbl>
    <w:p>
      <w:pPr>
        <w:pStyle w:val="Heading2"/>
        <w:spacing w:after="100" w:before="220"/>
      </w:pPr>
      <w:r>
        <w:rPr>
          <w:rFonts w:ascii="Aptos" w:cs="Aptos" w:eastAsia="Aptos" w:hAnsi="Aptos"/>
          <w:b/>
          <w:bCs/>
          <w:color w:val="1B3A5C"/>
          <w:sz w:val="26"/>
          <w:szCs w:val="26"/>
        </w:rPr>
        <w:t xml:space="preserve">5. Log Protection &amp; Integrity</w:t>
      </w:r>
    </w:p>
    <w:p>
      <w:pPr>
        <w:spacing w:after="120" w:before="0"/>
      </w:pPr>
      <w:r>
        <w:rPr>
          <w:rFonts w:ascii="Aptos" w:cs="Aptos" w:eastAsia="Aptos" w:hAnsi="Aptos"/>
          <w:b w:val="false"/>
          <w:bCs w:val="false"/>
          <w:i w:val="false"/>
          <w:iCs w:val="false"/>
          <w:sz w:val="24"/>
          <w:szCs w:val="24"/>
        </w:rPr>
        <w:t xml:space="preserve">All in-scope logs forward to the SIEM, which enforces role-based access and writes the archive to write-once storage. The SIEM also alerts on gaps in log delivery. The methods used to verify log integrity are defined in the Log Integrity Verification Procedures.</w:t>
      </w:r>
    </w:p>
    <w:p>
      <w:pPr>
        <w:pStyle w:val="Heading2"/>
        <w:spacing w:after="100" w:before="220"/>
      </w:pPr>
      <w:r>
        <w:rPr>
          <w:rFonts w:ascii="Aptos" w:cs="Aptos" w:eastAsia="Aptos" w:hAnsi="Aptos"/>
          <w:b/>
          <w:bCs/>
          <w:color w:val="1B3A5C"/>
          <w:sz w:val="26"/>
          <w:szCs w:val="26"/>
        </w:rPr>
        <w:t xml:space="preserve">6. Roles &amp;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 (Dr. Lisa Park)</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Owns this policy and confirms each system has an owner for the four logging duties: generate, protect, review, and analyze.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Information security analyst (part-time)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Reviews SIEM alerts daily, analyzes incidents, tunes detections, and escalates under the Incident Response Plan.</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team</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Configures logging and forwarding (generate) and maintains the SIEM, storage, and archive (protect).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Vendors and integration partners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Generate and forward logs from the systems they operate.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Dispatchers and staff</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Do not disable or tamper with logging.</w:t>
            </w:r>
          </w:p>
        </w:tc>
      </w:tr>
    </w:tbl>
    <w:p>
      <w:pPr>
        <w:pStyle w:val="Heading2"/>
        <w:spacing w:after="100" w:before="220"/>
      </w:pPr>
      <w:r>
        <w:rPr>
          <w:rFonts w:ascii="Aptos" w:cs="Aptos" w:eastAsia="Aptos" w:hAnsi="Aptos"/>
          <w:b/>
          <w:bCs/>
          <w:color w:val="1B3A5C"/>
          <w:sz w:val="26"/>
          <w:szCs w:val="26"/>
        </w:rPr>
        <w:t xml:space="preserve">7. Enforcement</w:t>
      </w:r>
    </w:p>
    <w:p>
      <w:pPr>
        <w:spacing w:after="120" w:before="0"/>
      </w:pPr>
      <w:r>
        <w:rPr>
          <w:rFonts w:ascii="Aptos" w:cs="Aptos" w:eastAsia="Aptos" w:hAnsi="Aptos"/>
          <w:b w:val="false"/>
          <w:bCs w:val="false"/>
          <w:i w:val="false"/>
          <w:iCs w:val="false"/>
          <w:sz w:val="24"/>
          <w:szCs w:val="24"/>
        </w:rPr>
        <w:t xml:space="preserve">The information security analyst confirms monthly that all in-scope systems forward to the SIEM and that daily review happened, and reports gaps to the Director. A gap is recorded as a finding and tracked to closure.</w:t>
      </w:r>
    </w:p>
    <w:p>
      <w:pPr>
        <w:pStyle w:val="Heading2"/>
        <w:spacing w:after="100" w:before="220"/>
      </w:pPr>
      <w:r>
        <w:rPr>
          <w:rFonts w:ascii="Aptos" w:cs="Aptos" w:eastAsia="Aptos" w:hAnsi="Aptos"/>
          <w:b/>
          <w:bCs/>
          <w:color w:val="1B3A5C"/>
          <w:sz w:val="26"/>
          <w:szCs w:val="26"/>
        </w:rPr>
        <w:t xml:space="preserve">8. Exceptions</w:t>
      </w:r>
    </w:p>
    <w:p>
      <w:pPr>
        <w:spacing w:after="120" w:before="0"/>
      </w:pPr>
      <w:r>
        <w:rPr>
          <w:rFonts w:ascii="Aptos" w:cs="Aptos" w:eastAsia="Aptos" w:hAnsi="Aptos"/>
          <w:b w:val="false"/>
          <w:bCs w:val="false"/>
          <w:i w:val="false"/>
          <w:iCs w:val="false"/>
          <w:sz w:val="24"/>
          <w:szCs w:val="24"/>
        </w:rPr>
        <w:t xml:space="preserve">The Director may grant a written exception where a system cannot meet a requirement, naming the compensating step and an expiry date. One exception is on file: a legacy video-integration appliance forwards a reduced log set, so the IT team supplements it with network flow records pending a vendor upgrade.</w:t>
      </w:r>
    </w:p>
    <w:p>
      <w:pPr>
        <w:pStyle w:val="Heading2"/>
        <w:spacing w:after="100" w:before="220"/>
      </w:pPr>
      <w:r>
        <w:rPr>
          <w:rFonts w:ascii="Aptos" w:cs="Aptos" w:eastAsia="Aptos" w:hAnsi="Aptos"/>
          <w:b/>
          <w:bCs/>
          <w:color w:val="1B3A5C"/>
          <w:sz w:val="26"/>
          <w:szCs w:val="26"/>
        </w:rPr>
        <w:t xml:space="preserve">9. Review Schedule</w:t>
      </w:r>
    </w:p>
    <w:p>
      <w:pPr>
        <w:spacing w:after="120" w:before="0"/>
      </w:pPr>
      <w:r>
        <w:rPr>
          <w:rFonts w:ascii="Aptos" w:cs="Aptos" w:eastAsia="Aptos" w:hAnsi="Aptos"/>
          <w:b w:val="false"/>
          <w:bCs w:val="false"/>
          <w:i w:val="false"/>
          <w:iCs w:val="false"/>
          <w:sz w:val="24"/>
          <w:szCs w:val="24"/>
        </w:rPr>
        <w:t xml:space="preserve">This policy is reviewed at least annually and after any significant change to center systems or applicable law, by the information security analyst. It was last adopted on May 19, 2026.</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Logs from all in-scope systems feed a central monitoring system. A security analyst reviews and tunes detections, and log integrity is verified automatically.</w:t>
            </w:r>
          </w:p>
        </w:tc>
      </w:tr>
    </w:tbl>
    <w:p>
      <w:pPr>
        <w:pStyle w:val="Heading2"/>
        <w:spacing w:after="100" w:before="220"/>
      </w:pPr>
      <w:r>
        <w:rPr>
          <w:rFonts w:ascii="Aptos" w:cs="Aptos" w:eastAsia="Aptos" w:hAnsi="Aptos"/>
          <w:b/>
          <w:bCs/>
          <w:color w:val="1B3A5C"/>
          <w:sz w:val="26"/>
          <w:szCs w:val="26"/>
        </w:rPr>
        <w:t xml:space="preserve">CJIS Handling Addendum</w:t>
      </w:r>
    </w:p>
    <w:p>
      <w:pPr>
        <w:spacing w:after="120" w:before="0"/>
      </w:pPr>
      <w:r>
        <w:rPr>
          <w:rFonts w:ascii="Aptos" w:cs="Aptos" w:eastAsia="Aptos" w:hAnsi="Aptos"/>
          <w:b w:val="false"/>
          <w:bCs w:val="false"/>
          <w:i w:val="false"/>
          <w:iCs w:val="false"/>
          <w:sz w:val="24"/>
          <w:szCs w:val="24"/>
        </w:rPr>
        <w:t xml:space="preserve">CJIS Handling: For systems that carry CJIS-regulated data, reached through IDACS, Tri-River Regional 911 Center applies CJIS Security Policy v5.9 §5.4 (Auditing and Accountability), and 240 IAC 5, in addition to the requirements above.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r>
              <w:rPr>
                <w:rFonts w:ascii="Aptos" w:cs="Aptos" w:eastAsia="Aptos" w:hAnsi="Aptos"/>
                <w:sz w:val="24"/>
                <w:szCs w:val="24"/>
              </w:rPr>
              <w:t xml:space="preserve">NENA-STA-040.2-2024: §5.6, §5.6.1, §5.6.2, §5.6.3</w:t>
            </w:r>
          </w:p>
          <w:p>
            <w:r>
              <w:rPr>
                <w:rFonts w:ascii="Aptos" w:cs="Aptos" w:eastAsia="Aptos" w:hAnsi="Aptos"/>
                <w:sz w:val="24"/>
                <w:szCs w:val="24"/>
              </w:rPr>
              <w:t xml:space="preserve">NIST SP 800-53 Rev. 5: AU-2, AU-3, AU-6, AU-9, AU-11, AU-12</w:t>
            </w:r>
          </w:p>
          <w:p>
            <w:r>
              <w:rPr>
                <w:rFonts w:ascii="Aptos" w:cs="Aptos" w:eastAsia="Aptos" w:hAnsi="Aptos"/>
                <w:sz w:val="24"/>
                <w:szCs w:val="24"/>
              </w:rPr>
              <w:t xml:space="preserve">CJIS Security Policy v5.9: §5.4 (Auditing and Accountability;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Dr. Lisa Park</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 Lisa Park</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May 19,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Information Security Analyst</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(on file)</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(on file)</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May 19,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May 19,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Information Security Analyst</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 and adoption</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center"/>
    </w:pPr>
    <w:r>
      <w:rPr>
        <w:rFonts w:ascii="Aptos" w:cs="Aptos" w:eastAsia="Aptos" w:hAnsi="Aptos"/>
        <w:color w:val="595959"/>
        <w:sz w:val="16"/>
        <w:szCs w:val="16"/>
      </w:rPr>
    </w:r>
    <w:r>
      <w:drawing>
        <wp:inline xmlns:a="http://schemas.openxmlformats.org/drawingml/2006/main" xmlns:pic="http://schemas.openxmlformats.org/drawingml/2006/picture">
          <wp:extent cx="822960" cy="822960"/>
          <wp:docPr id="1" name="Picture 1"/>
          <wp:cNvGraphicFramePr>
            <a:graphicFrameLocks noChangeAspect="1"/>
          </wp:cNvGraphicFramePr>
          <a:graphic>
            <a:graphicData uri="http://schemas.openxmlformats.org/drawingml/2006/picture">
              <pic:pic>
                <pic:nvPicPr>
                  <pic:cNvPr id="0" name="seal_S.png"/>
                  <pic:cNvPicPr/>
                </pic:nvPicPr>
                <pic:blipFill>
                  <a:blip r:embed="rId1"/>
                  <a:stretch>
                    <a:fillRect/>
                  </a:stretch>
                </pic:blipFill>
                <pic:spPr>
                  <a:xfrm>
                    <a:off x="0" y="0"/>
                    <a:ext cx="822960" cy="822960"/>
                  </a:xfrm>
                  <a:prstGeom prst="rect"/>
                </pic:spPr>
              </pic:pic>
            </a:graphicData>
          </a:graphic>
        </wp:inline>
      </w:drawing>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image.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