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Hickory County 911</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Tracy Holloway,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February 17,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February 17, 2027</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Director</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standard sets the physical hardening requirements for Hickory County 911's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None.</w:t>
      </w:r>
    </w:p>
    <w:p>
      <w:pPr>
        <w:pStyle w:val="Heading2"/>
        <w:spacing w:after="100" w:before="220"/>
      </w:pPr>
      <w:r>
        <w:rPr>
          <w:rFonts w:ascii="Aptos" w:cs="Aptos" w:eastAsia="Aptos" w:hAnsi="Aptos"/>
          <w:b/>
          <w:bCs/>
          <w:color w:val="1B3A5C"/>
          <w:sz w:val="26"/>
          <w:szCs w:val="26"/>
        </w:rPr>
        <w:t xml:space="preserve">3. Requirements</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5 minutes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the Director. The request states the gap, the reason, the compensating controls in place, and a re-evaluation date. Approved deviations are recorded in the Server Room / Equipment Area Hardening Assessment Record and reviewed at least annually.</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b w:val="false"/>
          <w:bCs w:val="false"/>
          <w:i w:val="false"/>
          <w:iCs w:val="false"/>
          <w:sz w:val="24"/>
          <w:szCs w:val="24"/>
        </w:rPr>
        <w:t>This standard is reviewed at least annually and after any significant change to the Agency's facilities, equipment, or physical threat environment, by the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Most equipment sits in one room, often shared with the sheriff's office. Meet the standard with what scales: locked racks, labeled cabling, privacy filters, and auto-lock on every screen. The director checks placement once a year and records any shared-space gap as a deviation with a compensating control.</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