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{agencyName}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[all personnel who request, approve, or implement changes, including county or vendor IT].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[exclusions, if any; if none, write "None."]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«Who may administer DNS, and how DNS changes are approved and logged (assessment 4.C).»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«Maintenance of sensitive or critical systems under defined safeguards (assessment 5C-4).»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«Risk-scaled security assessment, including a cryptographic review, before a major change goes live (assessment 12A-3).»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 (county / vendor / in-house)]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[Change approver / advisory role]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[Security reviewer]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[All personnel]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{directorName},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[annually] and after [significant change to the Agency's systems or change process],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person, usually the director, approves changes and keeps a simple change log. Standard changes follow a short checklist; major or emergency changes get a second set of eyes from county or vendor IT and a pre-change backup.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approver or small advisory group reviews changes on a set cadence, with the security coordinator running the assessment gate for major changes. Records live in a shared change log.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advisory board governs changes across both centers, with formal risk scoring, a security assessment gate for major deployments, and change records in an ITSM system.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Confirm before finalizing: (1) the {ownerRole} and the change-approver model (single approver for a small agency, a board for a large one); (2) the risk tiers and sign-off levels for standard, major, and emergency changes. No CJIS overlay: CJIS-regulated systems are maintained by the State via IDACS, outside PSAP scope, so this policy does not govern their change management. Cross-referenced artifacts use Tracker names: Change Request &amp; Approval Log, Emergency Change Procedures, System Configuration Baselines, DNS Security Configuration Record.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