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w:t>
            </w:r>
          </w:p>
          <w:p>
            <w:pPr>
              <w:spacing w:after="0"/>
            </w:pPr>
            <w:r>
              <w:rPr>
                <w:rFonts w:ascii="Aptos" w:cs="Aptos" w:eastAsia="Aptos" w:hAnsi="Aptos"/>
                <w:i/>
                <w:iCs/>
                <w:color w:val="595959"/>
                <w:sz w:val="24"/>
                <w:szCs w:val="24"/>
              </w:rPr>
              <w:t xml:space="preserve">«Minimum for this plan is Internal: a training plan’s disclosure does not materially aid an attacker (CLAUDE.md §10 lists training plans as Internal), so it sits below the Plan type’s usual Restricted floor. Use a role, not a person’s name.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plan sets what cybersecurity training the Agency delivers, to whom, how often, and how completion is tracked against leadership targets.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This is a program plan, not an incident plan. Course content lives in the Role-Specific Training Materials and completion evidence in the Training Completion Records. Reference them; do not restate them.</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i/>
          <w:iCs/>
          <w:color w:val="595959"/>
          <w:sz w:val="24"/>
          <w:szCs w:val="24"/>
        </w:rPr>
        <w:t xml:space="preserve">«What this plan does, when it applies, and its boundaries. One or two sentences each.»</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the Agency’s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Agency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i/>
          <w:iCs/>
          <w:color w:val="595959"/>
          <w:sz w:val="24"/>
          <w:szCs w:val="24"/>
        </w:rPr>
        <w:t xml:space="preserve">«Optional. Define only terms used with a narrower meaning than common usage. Delete if not needed.»</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p>
      <w:pPr>
        <w:spacing w:after="120"/>
      </w:pPr>
      <w:r>
        <w:rPr>
          <w:rFonts w:ascii="Aptos" w:cs="Aptos" w:eastAsia="Aptos" w:hAnsi="Aptos"/>
          <w:i/>
          <w:iCs/>
          <w:color w:val="595959"/>
          <w:sz w:val="24"/>
          <w:szCs w:val="24"/>
        </w:rPr>
        <w:t xml:space="preserve">«Each role with a duty under this plan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[Training / security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p>
      <w:pPr>
        <w:spacing w:after="120"/>
      </w:pPr>
      <w:r>
        <w:rPr>
          <w:rFonts w:ascii="Aptos" w:cs="Aptos" w:eastAsia="Aptos" w:hAnsi="Aptos"/>
          <w:i/>
          <w:iCs/>
          <w:color w:val="595959"/>
          <w:sz w:val="24"/>
          <w:szCs w:val="24"/>
        </w:rPr>
        <w:t xml:space="preserve">«Map each audience to the training it must complete and how often. This replaces a response plan’s activation criteria: training is assigned and scheduled, not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i/>
          <w:iCs/>
          <w:color w:val="595959"/>
          <w:sz w:val="24"/>
          <w:szCs w:val="24"/>
        </w:rPr>
        <w:t xml:space="preserve">«The core of the plan: the topics taught and how they are delivered. This replaces a response plan’s step-by-step procedures.»</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[methods, for example short online modules, briefings at shift change, tabletop participation, and phishing simulations]. Indiana telecommunicator training requirements, including required IDACS and NCIC coursework, are met through [the Agency’s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i/>
          <w:iCs/>
          <w:color w:val="595959"/>
          <w:sz w:val="24"/>
          <w:szCs w:val="24"/>
        </w:rPr>
        <w:t xml:space="preserve">«How completion is recorded and reported to leadership against targets. This replaces a response plan’s communication procedures.»</w:t>
      </w:r>
    </w:p>
    <w:p>
      <w:pPr>
        <w:spacing w:after="120"/>
      </w:pPr>
      <w:r>
        <w:rPr>
          <w:rFonts w:ascii="Aptos" w:cs="Aptos" w:eastAsia="Aptos" w:hAnsi="Aptos"/>
          <w:sz w:val="24"/>
          <w:szCs w:val="24"/>
        </w:rPr>
        <w:t xml:space="preserve">Completion is recorded for every assigned course in the Training Completion Records. The [training / security coordinator] tracks completion against the targets leadership sets, follows up on overdue training, and reports completion rates to the [Director / Coordinator] at least [quarterly].</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[for example, all staff complete annual awareness training; new hires complete the baseline before system access is granted].</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i/>
          <w:iCs/>
          <w:color w:val="595959"/>
          <w:sz w:val="24"/>
          <w:szCs w:val="24"/>
        </w:rPr>
        <w:t xml:space="preserve">«How often the plan and materials are reviewed, and how effectiveness is measured. This replaces a response plan’s testing requirements.»</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annual awareness course for everyone, delivered online or in a briefing, plus a short phishing refresher. The director tracks completion on a simple roster and confirms new hires finish baseline training before getting system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security coordinator assigns role-based courses through shared county IT’s tools, runs periodic phishing simulations, and reports completion to leadership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learning-management system enrolls staff by role automatically, schedules recurring training, runs regular phishing campaigns, and dashboards completion and competency for leadership.</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i/>
          <w:iCs/>
          <w:color w:val="595959"/>
          <w:sz w:val="24"/>
          <w:szCs w:val="24"/>
        </w:rPr>
        <w:t xml:space="preserve">«Note here where this plan touches CJIS training or an Indiana training statute. Carry the citations into Source Authority. Delete if not applicable.»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 official / 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Plan, but the activation-style sections are adapted to a program model: Activation Criteria becomes Audience and Role-Based Assignment, Step-by-Step Procedures becomes Curriculum and Delivery, Communication Procedures becomes Completion Tracking and Reporting, and Testing Requirements becomes Review and Refresh. Classification is Internal, below the Plan type’s usual Restricted floor, per CLAUDE.md §10 (training plans are Internal). Course content lives in the Role-Specific Training Materials and completion in the Training Completion Records; both are referenced, not restated. [Confirm leadership-set completion targets and the Agency’s delivery methods.]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