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Background Check &amp; Screening Policy</w:t>
      </w:r>
    </w:p>
    <w:p>
      <w:pPr>
        <w:spacing w:after="140"/>
      </w:pPr>
      <w:r>
        <w:rPr>
          <w:rFonts w:ascii="Aptos" w:cs="Aptos" w:eastAsia="Aptos" w:hAnsi="Aptos"/>
          <w:i/>
          <w:iCs/>
          <w:color w:val="595959"/>
          <w:sz w:val="24"/>
          <w:szCs w:val="24"/>
        </w:rPr>
        <w:t xml:space="preserve">«Replace with the artifact name exactly as it appears in the Tracker (e.g., 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hAnsi="Aptos"/>
                <w:b/>
                <w:sz w:val="24"/>
              </w:rPr>
              <w:t xml:space="preserve">Classification: </w:t>
            </w:r>
            <w:r>
              <w:rPr>
                <w:rFonts w:ascii="Aptos" w:hAnsi="Aptos"/>
                <w:b w:val="0"/>
                <w:sz w:val="24"/>
              </w:rPr>
              <w:t>Internal / CJIS</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[Agency Name]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[list positions and the check required for each].</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[on the interval defined by the Agency and, for CJIS-regulated access, on the cadence IDACS requires],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[Agency Name].</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 Coordinator or designated adjudicating authority]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[Agency Name]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Only the [Director / Coordinator] may grant a time-limited exception, in writing, with a documented compensating control such as continuous escort. Exceptions are logged and expire on [timeframe]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The director usually serves as the adjudicating authority and works with county HR and the IDACS TAC for fingerprint checks. One consent form and one confidential file per person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Screening tiers, the rescreening interval, and the exception timeframe are agency-defined and left bracketed. The named adjudicating authority and the IDACS TAC role should be confirmed against the agency’s CJIS arrangement.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