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MFA Implementation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Restricted / CJIS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  <w:i/>
                <w:color w:val="595959"/>
              </w:rPr>
              <w:t xml:space="preserve">«Minimum for this artifact. The / CJIS marker covers systems that reach CJIS-regulated data via IDACS; remove it if none are in scope. Your agency may raise this floor but not lower it.»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 and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system this record documents and why. A Configuration Record captures the as-built state; it is evidence of compliance with the governing Standard, not the rule itself.»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This record documents where multi-factor authentication (MFA) is enforced across {agencyName} systems, the method in use, and any exceptions, as evidence that the Password &amp; Authentication Policy MFA requirement is met. It captures the as-built state, not the requirement.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CJIS Handling: where a listed system reaches CJIS-regulated data via IDACS, apply CJIS Security Policy v5.9 §5.6 (advanced authentication) in addition to the controls here.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MFA Standard and Coverage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i/>
          <w:color w:val="595959"/>
        </w:rPr>
        <w:t xml:space="preserve">« The Agency's overall MFA posture: the standard method and where MFA is required.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Item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standard method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{mfaMethod}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Privileged / admin accounts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{mfaRequired}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Remote / VPN access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{mfaRequired2}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Cloud services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{mfaRequired3}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{roleTitle2}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MFA Enforcement by System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i/>
          <w:color w:val="595959"/>
        </w:rPr>
        <w:t xml:space="preserve">« One row per system in scope. Record MFA as it is actually enforced.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Environment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MFA Enforced (Y/N)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Method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Account Scope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{system}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{remoteOnPremCloud}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{yesNo}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{appTokenOtp}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{privilegedAll}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{system2}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{remoteOnPremCloud2}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{yesNo2}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{appTokenOtp2}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{privilegedAll2}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{system3}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{remoteOnPremCloud3}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{yesNo3}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{appTokenOtp3}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{privilegedAll3}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Exceptions and Compensating Controls</w:t>
      </w:r>
    </w:p>
    <w:p>
      <w:pPr>
        <w:spacing w:after="140"/>
      </w:pPr>
      <w:r>
        <w:rPr>
          <w:rFonts w:ascii="Aptos" w:cs="Aptos" w:eastAsia="Aptos" w:hAnsi="Aptos"/>
          <w:sz w:val="24"/>
          <w:szCs w:val="24"/>
          <w:i/>
          <w:color w:val="595959"/>
        </w:rPr>
        <w:t xml:space="preserve">« One row per system where MFA is not enforced: the reason, the compensating control, who approved it, and the review date.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1560"/>
        <w:gridCol w:w="1800"/>
        <w:gridCol w:w="1400"/>
      </w:tblGrid>
      <w:tr>
        <w:trPr>
          <w:cantSplit/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System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Reason MFA not enforced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Compensating control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Approved by (Role)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Review date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{system4}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{reason}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{control}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{effectiveDate3}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{system5}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{reason2}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{control2}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{reviewerRole2}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{effectiveDate4}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Validation and Review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and how often the as-built state is checked against the approved baseline, and who does it. Each change is recorded in the Change History below.»</w:t>
      </w:r>
    </w:p>
    <w:p>
      <w:pPr>
        <w:spacing w:after="120" w:before="0"/>
      </w:pPr>
      <w:r>
        <w:rPr>
          <w:rFonts w:ascii="Aptos" w:cs="Aptos" w:eastAsia="Aptos" w:hAnsi="Aptos"/>
          <w:sz w:val="24"/>
          <w:szCs w:val="24"/>
        </w:rPr>
        <w:t xml:space="preserve">MFA coverage is validated against the Password &amp; Authentication Policy at least {reviewCadence} by the {ownerRole}; new systems are checked at go-live and exceptions are reviewed on the date shown.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Few systems. One person records, for each, whether MFA is on and how (app or code), and notes any system that cannot take it yet with a reason.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A named coordinator keeps the per-system list for the county's shared systems and confirms MFA on remote access and privileged accounts.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sz w:val="24"/>
                <w:szCs w:val="24"/>
              </w:rPr>
              <w:t xml:space="preserve">Populated from the identity platform; MFA state per system is exported and reconciled, and exceptions carry a compensating control and review date.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§6.2, §6.2.1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IA-2, IA-2(1), IA-2(2),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Indiana statutes and administrative code: 240 IAC 5 (IDACS)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CJIS Security Policy v5.9: §5.6  (CJIS-regulated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{systemOwnerRole}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{securityReviewerRole}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Change History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«This table is the Configuration Record’s required change-history element. Add one row per configuration change.»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{effectiveDate5}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{reviewerRole3}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  <w:i/>
              </w:rPr>
              <w:t xml:space="preserve">As-built evidence that the Password &amp; Authentication Policy MFA requirement is met; the requirement itself lives in that policy (point, do not restate). Sensitive-interface MFA (SBC consoles) is set in the System Configuration Baselines and privileged MFA in the PAM Policy. Remove the / CJIS marker and the CJIS line if no IDACS or CJIS-regulated systems are in scope. Agency-supplied values in brackets: {agencyName}, the owner role, and the per-system MFA state.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2026-06-01T15:29:11.476Z</dcterms:created>
  <dcterms:modified xsi:type="dcterms:W3CDTF">2026-06-01T15:29:11.476Z</dcterms:modified>
  <dc:title xmlns:dc="http://purl.org/dc/elements/1.1/">MFA Implementation Record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