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Vendor Security Assessment Questionnaire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Adopted by </w:t>
            </w:r>
            <w:r>
              <w:rPr>
                <w:rFonts w:ascii="Aptos" w:hAnsi="Aptos" w:cs="Aptos"/>
                <w:b w:val="0"/>
                <w:i w:val="0"/>
                <w:sz w:val="24"/>
                <w:b/>
                <w:bCs/>
              </w:rPr>
              <w:t xml:space="preserve">{agencyName}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 under the authority of </w:t>
            </w:r>
            <w:r>
              <w:rPr>
                <w:rFonts w:ascii="Aptos" w:hAnsi="Aptos" w:cs="Aptos"/>
                <w:b w:val="0"/>
                <w:i w:val="0"/>
                <w:sz w:val="24"/>
                <w:b/>
                <w:bCs/>
              </w:rPr>
              <w:t xml:space="preserve">{signingOfficialTitle}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{version}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{effectiveDate2}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{directorName}</w:t>
            </w: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 xml:space="preserve">   « use a role, not a person's name »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Internal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the blank instrument. A returned copy that names a vendor representative and discloses control gaps should be raised to Confidential.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Vendor identification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Vendor: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{vendorName}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Product / service: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{productOrServiceInScope}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Completed by (vendor):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{nameTitle}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Reviewed by (agency):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{reviewerRole}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{effectiveDate3}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1. Vendor Security Questions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One security control per row. The vendor answers Yes, No, N-A, or Partial and gives evidence for every row.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Security control the vendor must confirm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Yes / No / N-A / Partial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Evidence (required)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1A. Data protection, access &amp; encryption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at rest to a current standard (e.g., AES-256).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in transit (TLS or equivalent).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{evidence2}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Segregates or logically separates Agency data from other customers.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{evidence3}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Enforces least-privilege access to Agency data and systems.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{evidence4}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5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Requires multi-factor authentication for administrative and remote access.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{evidence5}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6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Deprovisions vendor and staff access promptly when roles change.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{evidence6}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1B. Incident response, breach notification &amp; subcontractors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Notifies the Agency of a security incident affecting Agency data within {aDefinedTime}.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{evidence7}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8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Maintains a documented incident response capability and tests it.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{evidence8}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9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subcontractors with access to Agency data and flows these obligations to them.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{evidence9}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1C. Compliance, assurance &amp; security posture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10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Provides a current independent assurance report (e.g., SOC 2 Type II) on request.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{evidence10}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11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Meets CJIS Security Policy handling where the vendor touches CJIS-regulated data (via IDACS).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{evidence11}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Runs regular vulnerability scanning and patching on systems holding Agency data.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{evidence12}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any material security breach affecting similar clients in the past {lookbackPeriod}.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{evidence13}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Risk Disposition &amp; Routing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How a gap is scored and where it goes. Point to the third-party risk records; do not restate them. 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Score the completed questionnaire and record the result in the Third-Party Risk Assessment Records. A 'No' or 'Partial' on a material control is a gap: the {ownerRole} assigns a risk rating and decides whether to accept, mitigate, or reject, then carries any required controls into the vendor's contract through the Security Requirements in Vendor Contracts / SLAs. A vendor that touches CJIS-regulated data must also meet the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Use this questionnaire for any vendor with access to Agency systems or data. One person, usually the director, sends it, reviews the answers, and files the result. A completed questionnaire plus a current SOC 2 report is often enough for a small vendor.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security coordinator issues the questionnaire for every new vendor and on a set cadence, scores the answers, and tracks gaps in the Third-Party Risk Assessment Records.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Vendor questionnaires are part of procurement. Answers are scored against a risk threshold, higher-risk vendors get a deeper review, and required controls are written into the contract before award.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§5.2, §5.6, §10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CA-3, SA-9, SR-3, SR-6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CJIS Security Policy v5.9: §5.1 (where the vendor accesses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{completedByRole}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Kept as a Checklist, adapted to a vendor questionnaire: Yes / No / N-A / Partial with required evidence, banded by domain. The blank form is Internal; a returned copy that names a vendor representative and discloses the vendor's control gaps should be raised to Confidential. NENA §10 is Appendix B, Suggested Procurement Security Questions.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Agency-supplied values in brackets: {agencyName}, owner and reviewer roles, the incident-notification timeframe, and the breach lookback period. Completed questionnaires feed the Third-Party Risk Assessment Records.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Vendor Security Assessment Questionnaire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