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Email Authentication Configuration Records (SPF/DKIM/DMARC)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«Set to Internal, below the Configuration Record Restricted default: SPF, DKIM, and DMARC records are published in public DNS and the TLS posture is externally observable, so they reveal no defensive architecture.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system this record documents and why. A Configuration Record captures the as-built state; it is evidence of compliance with the governing Standard, not the rule itself.»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email authentication for the Agency's domains: the SPF, DKIM, and DMARC records and the TLS settings, with the cadence on which they are audited. It implements the Email Security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«Identify the system precisely. Tie the Asset ID back to the Master Asset Inventory.»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{emailDomainSMailPlatform}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{production}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{hostedOnPrem}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{assetId}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as-built state. Record settings as they are, not as they should be.»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{spfRecord}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{publishedValue}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{authorizedSenders}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{dkim}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{selectorSAndKey}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{signingEnabled}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{dmarcPolicy}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{noneQuarantineReject}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{reportingAddress}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{tls}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{enforcedOpportunistic}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{inboundAndOutbound}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approved baseline value for each setting and any approved deviation, with who approved it and when.»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{setting}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{value}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{yesNo}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{setting2}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{value2}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{yesNo2}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{reviewerRole3}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and how often the as-built state is checked against the approved baseline, and who does it. Each change is recorded in the Change History below.»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Audited at least {reviewCadence} by the {ownerRole} against the Email Security Policy; changes to the published records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 as written. For hosted email, publish an SPF record, enable DKIM signing, and set a DMARC policy (start at monitoring, then tighten). Record the values here and check them when the email service or domain changes.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publishes and maintains SPF, DKIM, and DMARC, moves DMARC toward enforcement, and reviews the reports on a cadence.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SPF, DKIM, and DMARC are enforced with DMARC at reject, TLS required, and the authentication reports monitored; this record is the as-built evidence, reconciled at each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SC-8, SC-23, SI-8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{systemOwnerRole}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{securityReviewerRole}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Configuration Record’s required change-history element. Add one row per configuration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{effectiveDate5}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{reviewerRole4}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Email Authentication Configuration Records for category 4.D. Classification set to Internal, a deliberate step below the Configuration Record Restricted default: SPF, DKIM, and DMARC records are published in public DNS and the TLS posture is externally observable, so they reveal no defensive architecture. Implements the Email Security Policy; email-server hardening is in the Endpoint Hardening Checklist. Cross-referenced by Tracker name: Email Security Policy, Endpoint Hardening Checklist. Confirm the Agency's domains and current DMARC policy level.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Email Authentication Configuration Records (SPF/DKIM/DMARC)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