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sz w:val="40"/>
          <w:szCs w:val="40"/>
        </w:rPr>
        <w:t xml:space="preserve">Cellular / Mobile Device Security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{agencyName}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{signingOfficialTitle}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{version}   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{effectiveDate}   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{effectiveDate2}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{roleTitle}   </w:t>
            </w:r>
            <w:r>
              <w:rPr>
                <w:rFonts w:ascii="Aptos" w:cs="Aptos" w:eastAsia="Aptos" w:hAnsi="Aptos"/>
                <w:i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sz w:val="24"/>
                <w:szCs w:val="24"/>
                <w:i w:val="0"/>
              </w:rPr>
              <w:t xml:space="preserve">Classification: </w:t>
            </w:r>
            <w:r>
              <w:rPr>
                <w:rFonts w:ascii="Aptos" w:cs="Aptos" w:eastAsia="Aptos" w:hAnsi="Aptos"/>
                <w:b w:val="0"/>
                <w:sz w:val="24"/>
                <w:szCs w:val="24"/>
                <w:i w:val="0"/>
              </w:rPr>
              <w:t xml:space="preserve">Restricted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color w:val="595959"/>
                <w:sz w:val="24"/>
                <w:szCs w:val="24"/>
              </w:rPr>
              <w:t xml:space="preserve">«Minimum for this standard: it prescribes private-APN and rogue-base-station controls, which are operational defensive detail. Stays Restricted. Your agency may raise but not lower this.»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i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/>
                <w:i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color w:val="595959"/>
                <w:sz w:val="24"/>
                <w:szCs w:val="24"/>
              </w:rPr>
              <w:t xml:space="preserve">This template is ready to adopt. Replace every [BRACKETED] field with your agency’s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i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/>
                <w:i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/>
                <w:i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i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/>
                <w:i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/>
                <w:i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/>
                <w:i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this standard prescribes and the policy it implements. A Standard states what must be true; it governs behavior.»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  <w:i w:val="0"/>
        </w:rPr>
        <w:t xml:space="preserve">This standard sets the security requirements for cellular and mobile access to the Agency’s emergency-services applications. It states what a cellular connection must satisfy before it is allowed, covering device management, session handling, encryption of the cellular link, and detection of unauthorized base stations.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and who the standard binds; which systems or data it applies to.»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/>
          <w:sz w:val="24"/>
          <w:szCs w:val="24"/>
          <w:i w:val="0"/>
        </w:rPr>
        <w:t xml:space="preserve">Applies to: all cellular and mobile connections that reach Agency emergency-services applications, and the devices that make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/>
          <w:sz w:val="24"/>
          <w:szCs w:val="24"/>
          <w:i w:val="0"/>
        </w:rPr>
        <w:t xml:space="preserve">Implements: Wireless Network Policy; Mobile Device Management (MDM) Policy.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/>
          <w:sz w:val="24"/>
          <w:szCs w:val="24"/>
          <w:i w:val="0"/>
        </w:rPr>
        <w:t xml:space="preserve">Excludes: fixed wired connections, governed by the Access Control Policy; the deployed configuration values, recorded in the relevant configuration records.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Requirements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binding requirements, as numbered statements. Each must be testable. Use “The Agency shall…”.»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Cellular access to emergency-services applications is formally approved before it is enabled, and is limited to mission-essential services.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Cellular-connected devices are managed through mobile-device management or a private APN, so the Agency can enforce settings and revoke access.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Cellular and broadband sessions carrying sensitive data are encrypted, using an agency VPN or application-level encryption.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Non-essential cellular services are disabled when not in use, including after shift where a device is not on duty.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Authentication for cellular access to emergency-services applications uses multifactor authentication or device certificates.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Where the technology supports it, the Agency detects and prevents connections to unauthorized or rogue base stations, and monitors for interference.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Cellular links are kept separate from real-time call-handling systems and are monitored for unusual activity.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  <w:i w:val="0"/>
        </w:rPr>
        <w:t xml:space="preserve">Encryption strength and approved algorithms follow the Encryption Policy; this standard does not restate cipher values.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and Prohibited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concrete allow/deny lists this standard sets (e.g., approved algorithms, prohibited protocols). Keep the as-built evidence in the matching Configuration Record, not here.»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color w:val="FFFFFF"/>
                <w:sz w:val="24"/>
                <w:szCs w:val="24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color w:val="FFFFFF"/>
                <w:sz w:val="24"/>
                <w:szCs w:val="24"/>
              </w:rPr>
              <w:t xml:space="preserve">Approved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color w:val="FFFFFF"/>
                <w:sz w:val="24"/>
                <w:szCs w:val="24"/>
              </w:rPr>
              <w:t xml:space="preserve">Prohibited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Cellular transport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Private APN; agency VPN over LTE; application-level TLS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Public or consumer hotspot tethering to dispatch systems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Device management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MDM-enrolled, agency-managed devices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Unmanaged or personal devices for emergency-services applications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Session handling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Disable-when-idle; restrict to mission-essential services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Always-on non-essential cellular services on dispatch devices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Messaging of sensitive data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Approved secure channels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Consumer messaging apps for CJIS-regulated or sensitive data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Base-station security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Rogue-base-station detection where available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Connecting to unverified or unauthorized base stations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Deviation Process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may approve a deviation, how it is requested and recorded, and how long it lasts before review.»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  <w:i w:val="0"/>
        </w:rPr>
        <w:t xml:space="preserve">A deviation (for example, a device or carrier that cannot meet a requirement) requires written approval from the {directorName}, a stated compensating control, and a review date. Deviations are recorded and expire after {period} unless renewed.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Review Schedule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«Review cadence and trigger events (annual at minimum; also on significant change). Name the owning role.»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  <w:i w:val="0"/>
        </w:rPr>
        <w:t xml:space="preserve">This standard is reviewed at least annually and whenever the Agency’s cellular or mobile technology changes significantly, by the {ownerRole}.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Few cellular devices. Approve which devices may reach emergency-services applications, require MFA, and use the carrier’s or platform’s management to disable non-essential services. The director keeps the approval list.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Shared county IT manages cellular devices through MDM or a private APN, encrypts sessions with a VPN, and restricts devices to mission-essential services.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 private APN and MDM enforce device management, session encryption, and disable-when-idle across the fleet, with rogue-base-station detection and monitoring where the technology supports it.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i w:val="0"/>
                <w:sz w:val="24"/>
                <w:szCs w:val="24"/>
                <w:b w:val="0"/>
              </w:rPr>
              <w:t xml:space="preserve">NENA-STA-040.2-2024: §6.3.4 (Broadband Cellular); §6.7.1 (Remote Access Device Security); §6.22 (Encryption)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i w:val="0"/>
                <w:sz w:val="24"/>
                <w:szCs w:val="24"/>
                <w:b w:val="0"/>
              </w:rPr>
              <w:t xml:space="preserve">NIST SP 800-53 Rev. 5: AC-18, AC-19, SC-8, SC-40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{approvingOfficialTitle}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{ownerRole2}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Drafter’s note (internal, delete before publishing):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The Agency fills {agencyName}, version, dates, and the Owner role. Confirm CJIS applicability: keep the / CJIS marker and the FIPS-validated-module requirement only if the Agency stores or transmits CJIS-regulated data on systems it controls. Key generation, custody, and rotation are governed by the Key &amp; Certificate Management Policy, not restated here. As-built proof of conformance is recorded in the Encryption Implementation Verification Records.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Cellular / Mobile Device Security Standards for category 4.E. Restricted (raised from Internal): the standard prescribes private-APN and rogue-base-station controls, which are operational defensive detail, not public best practice. It implements the Wireless Network Policy and the Mobile Device Management (MDM) Policy; encryption strength lives in the Encryption Policy. Confirm the Agency’s cellular management method (MDM or private APN), the encryption of cellular sessions, and whether rogue-base-station detection is available.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6"/>
    <w:lvlOverride w:ilvl="0">
      <w:startOverride w:val="1"/>
    </w:lvlOverride>
  </w:num>
  <w:num w:numId="30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2026-06-01T15:29:11.465Z</dcterms:created>
  <dcterms:modified xsi:type="dcterms:W3CDTF">2026-06-01T15:29:11.465Z</dcterms:modified>
  <dc:title xmlns:dc="http://purl.org/dc/elements/1.1/">Cellular / Mobile Device Security Standards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