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Key Escrow and Recovery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  <w:i/>
                <w:color w:val="595959"/>
              </w:rPr>
              <w:t xml:space="preserve">«Minimum for this artifact.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procedure defines how {agencyName} backs up or escrows cryptographic keys and recovers them when a key custodian is unavailable or a system fails, so encrypted Agency data and operations remain recoverable during outages and disaster recovery. It implements the Key &amp; Certificate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the key custodians, their backup custodians, and the IT roles that operate escrow and recovery, and any second approver required for dual-control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cryptographic keys that protect Agency data at rest, backups, and services, including keys for special uses such as log-integrity signing and device certificates; escrow or backup of those keys and their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keys the State or another agency escrows for systems the Agency does not operate, including State-maintained IDACS cryptography. [State any local exclusions.]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Key &amp; Certificate Management Policy is in force and the Key Inventory &amp; Custody Records name each key's custodian and backup custodian.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 protected escrow store (for example, a sealed offline copy or a key-management system) exists, separate from the systems the keys protect.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Dual-control roles for retrieval are designated, so no single person can recover a key alone.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Escrow and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When a key is generated or rotated, the custodian places a recovery copy into the escrow store under the Key &amp; Certificate Management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confirms the escrowed copy is complete and readable, and records its location and the date in the Key Inventory &amp; Custody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store is protected so only the custodian and backup custodian can reach it, and access is reviewed periodically.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Recovery and retrieval (dual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 a custodian absence, system failure, or disaster-recovery event, the requester states the key needed and the reason for recovery.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{ownerRole}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Two authorized holders (custodian or backup custodian and a second approver) retrieve the escrowed key together under dual control; neither acts alone.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 + {secondApprover}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restores the key to the recovering system, confirms encrypted data and services are available, and records the retrieval, the reason, and the two approvers.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Post-recovery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reviews whether the recovered key should be rotated after use, and rotates it under the Key Rotation Schedule if the recovery indicates possible exposure.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copy is refreshed to match the current key, and the record is updated.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The Agency can show, for each key, a current escrowed copy and its location, and can demonstrate a dual-control recovery during a disaster-recovery test that restores encrypted data within the Agency's recovery-time objective. Every retrieval names two approvers and a reason.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Key &amp; Certificate Management Policy; Key Inventory &amp; Custody Records; Key Rotation Schedule; Continuity of Operations Plan (COOP); Restoration Test Records; System Redundancy Design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One or two keys matter. The custodian keeps a sealed recovery copy off the machine (for example, a sealed envelope in a locked location or a second encrypted copy held by the county), and a second trusted person is named to help retrieve it. Recovery is tested when backups are tested.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named coordinator holds escrow copies for the county's shared systems, with a second approver for retrieval. Recovery is exercised as part of the continuity test the county already runs.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Keys are escrowed in a key-management system with enforced dual-control (two-person) retrieval and full logging. Recovery is exercised during scheduled disaster-recovery tests and its results feed the Restoration Test Records.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§6.23.7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CP-9, SC-12, SC-12(1)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Implements the Key &amp; Certificate Management Policy and relies on the Key Inventory &amp; Custody Records for custodians and the Key Rotation Schedule for post-recovery rotation; point to them and do not restate. Agency-supplied values in brackets: {agencyName}, the owner and second-approver roles, and the escrow store and its location. CJIS and IDACS scope: this procedure excludes State-maintained IDACS cryptography; if the Agency issues or manages certificates for any IDACS-connected system itself, add 240 IAC 5 and CJIS Security Policy v5.9 §5.10.1.2 to the Source Authority and apply the CJIS overlay.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Key Escrow and Recovery Procedure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