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Single-Point-of-Failure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systems and paths reviewed for single points of failure, read against the System Redundancy Design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Report / Assessment artifacts. Raise to Confidential if the report names individuals as subjects.»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identifies single points of failure in the Agency’s infrastructure, such as a lone cable route, a single power feed, or one core switch, and records the redundancy decision and priority for each. [Summarize the headline result: how many single points of failure were found, which carry the highest impact, and what redundancy is planned.]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finding. Use a consistent severity scale. Keep the recommendation specific.»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Single point of failure (system / path)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Impact / priority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Redundancy treatment &amp; decision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{singlePointOfFailure}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{severityHml}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{redundancyTreatmentAndDecision}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{singlePointOfFailure2}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{severityHml2}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{redundancyTreatmentAndDecision2}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[Add single points of failure as needed.]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finding’s owner, action, due date, and status. Mirror open items into the Risk / Finding Register (POA&amp;M); do not maintain two trackers.»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{action2}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walks the critical path once a year, notes anywhere a single failure would stop dispatch, and records the fix or the accepted risk.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reviews cabling, power, and core network for single points of failure at each redundancy review and tracks treatments to closure.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Redundancy is mapped from network and facility diagrams, single points of failure are rated by impact, and treatments are prioritized and tracked.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§6.14 (Network Availability); §6.15 (Diversity)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CP-7, PE-9, SC-5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{assessorRole}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{reviewerRole5}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the systems and paths in scope against the System Redundancy Design Documentation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Single-Point-of-Failure Assessment Record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