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RTO Compliance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Cover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Assessment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Assessor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Agency’s mission-critical systems, comparing tested recovery times against the recovery-time objectives in the RTO/RPO Documentation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{reviewerRole2}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Report / Assessment artifacts. Raise to Confidential if the report names individuals as subjects.»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b w:val="0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«Three or four sentences a director can act on: what was assessed, the headline result, the most important finding. Write this last.»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record compares actual tested recovery times against the recovery-time objectives set in the RTO/RPO Documentation and confirms whether each mission-critical system is meeting its target. [Summarize which systems met target, which missed, and the remediation planned for any shortfall.]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Findings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«One row per finding. Use a consistent severity scale. Keep the recommendation specific.»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944"/>
        <w:gridCol w:w="3240"/>
        <w:gridCol w:w="1512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RTO target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Last tested (actual vs target)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Met? (Y / 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{system}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{rtoTarget}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{dateActualRecoveryTimeVsTarget}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{yesNo}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{system2}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{rtoTarget2}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{dateActualRecoveryTimeVsTarget2}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{yesNo2}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[Add systems as needed.]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 ]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 ]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 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Remediation Tracking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finding’s owner, action, due date, and status. Mirror open items into the Risk / Finding Register (POA&amp;M); do not maintain two trackers.»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 (shortfall)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{system3}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{reviewerRole3}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{action}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{statusOpen}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{system4}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{reviewerRole4}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{action2}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{statusOpen2}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The director records each critical system’s recovery target and the time the last recovery test actually took, and flags any that missed.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Shared county IT logs tested recovery times against targets after each recovery drill and opens remediation for shortfalls.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Tested recovery times are captured from recovery drills, compared to targets automatically, and gaps are tracked to closure.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§5.3 (Availability); §5.7 (Recovery Operations)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CP-2, CP-4, CP-10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{assessorRole}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{reviewedByRole}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{effectiveDate4}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{reviewerRole5}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 w:val="0"/>
                <w:bCs/>
                <w:i/>
                <w:iCs w:val="false"/>
                <w:color w:val="595959"/>
                <w:sz w:val="24"/>
                <w:szCs w:val="24"/>
              </w:rPr>
              <w:t>Drafter’s note (internal, delete before publishing): confirm the recovery-time objectives and the date of the most recent recovery test against the RTO/RPO Documentation before finalizing.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RTO Compliance Matrix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