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1B3A5C"/>
          <w:sz w:val="40"/>
          <w:szCs w:val="40"/>
        </w:rPr>
        <w:t xml:space="preserve">Risk Assessment Report</w:t>
      </w:r>
    </w:p>
    <w:p>
      <w:pPr>
        <w:spacing w:after="140"/>
      </w:pPr>
      <w:r>
        <w:rPr>
          <w:rFonts w:ascii="Aptos" w:cs="Aptos" w:eastAsia="Aptos" w:hAnsi="Aptos"/>
          <w:b w:val="false"/>
          <w:bCs w:val="false"/>
          <w:i/>
          <w:iCs/>
          <w:color w:val="595959"/>
          <w:sz w:val="24"/>
          <w:szCs w:val="24"/>
        </w:rPr>
        <w:t xml:space="preserve">Wabash Valley Communications   ·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40"/>
            </w:pPr>
            <w:r>
              <w:rPr>
                <w:rFonts w:ascii="Aptos" w:cs="Aptos" w:eastAsia="Aptos" w:hAnsi="Aptos"/>
                <w:b/>
                <w:bCs/>
                <w:i w:val="false"/>
                <w:iCs w:val="false"/>
                <w:color w:val="000000"/>
                <w:sz w:val="24"/>
                <w:szCs w:val="24"/>
              </w:rPr>
              <w:t xml:space="preserve">Assessment date: </w:t>
            </w:r>
            <w:r>
              <w:rPr>
                <w:rFonts w:ascii="Aptos" w:cs="Aptos" w:eastAsia="Aptos" w:hAnsi="Aptos"/>
                <w:b w:val="false"/>
                <w:bCs w:val="false"/>
                <w:i w:val="false"/>
                <w:iCs w:val="false"/>
                <w:color w:val="000000"/>
                <w:sz w:val="24"/>
                <w:szCs w:val="24"/>
              </w:rPr>
              <w:t xml:space="preserve">2026-05-01      </w:t>
            </w:r>
            <w:r>
              <w:rPr>
                <w:rFonts w:ascii="Aptos" w:cs="Aptos" w:eastAsia="Aptos" w:hAnsi="Aptos"/>
                <w:b/>
                <w:bCs/>
                <w:i w:val="false"/>
                <w:iCs w:val="false"/>
                <w:color w:val="000000"/>
                <w:sz w:val="24"/>
                <w:szCs w:val="24"/>
              </w:rPr>
              <w:t xml:space="preserve">Assessor (role): </w:t>
            </w:r>
            <w:r>
              <w:rPr>
                <w:rFonts w:ascii="Aptos" w:cs="Aptos" w:eastAsia="Aptos" w:hAnsi="Aptos"/>
                <w:b w:val="false"/>
                <w:bCs w:val="false"/>
                <w:i w:val="false"/>
                <w:iCs w:val="false"/>
                <w:color w:val="000000"/>
                <w:sz w:val="24"/>
                <w:szCs w:val="24"/>
              </w:rPr>
              <w:t xml:space="preserve">Security Coordinator, with a contracted external assessor</w:t>
            </w:r>
          </w:p>
          <w:p>
            <w:pPr>
              <w:spacing w:after="40"/>
            </w:pPr>
            <w:r>
              <w:rPr>
                <w:rFonts w:ascii="Aptos" w:cs="Aptos" w:eastAsia="Aptos" w:hAnsi="Aptos"/>
                <w:b/>
                <w:bCs/>
                <w:i w:val="false"/>
                <w:iCs w:val="false"/>
                <w:color w:val="000000"/>
                <w:sz w:val="24"/>
                <w:szCs w:val="24"/>
              </w:rPr>
              <w:t xml:space="preserve">Scope (systems / processes assessed): </w:t>
            </w:r>
            <w:r>
              <w:rPr>
                <w:rFonts w:ascii="Aptos" w:cs="Aptos" w:eastAsia="Aptos" w:hAnsi="Aptos"/>
                <w:b w:val="false"/>
                <w:bCs w:val="false"/>
                <w:i w:val="false"/>
                <w:iCs w:val="false"/>
                <w:color w:val="000000"/>
                <w:sz w:val="24"/>
                <w:szCs w:val="24"/>
              </w:rPr>
              <w:t xml:space="preserve">dual CAD and ESInet, radio and console, ALI/GIS, recording, and the mixed cloud and on-prem network</w:t>
            </w:r>
          </w:p>
          <w:p>
            <w:pPr>
              <w:spacing w:after="40"/>
            </w:pPr>
            <w:r>
              <w:rPr>
                <w:rFonts w:ascii="Aptos" w:cs="Aptos" w:eastAsia="Aptos" w:hAnsi="Aptos"/>
                <w:b/>
                <w:bCs/>
                <w:i w:val="false"/>
                <w:iCs w:val="false"/>
                <w:color w:val="000000"/>
                <w:sz w:val="24"/>
                <w:szCs w:val="24"/>
              </w:rPr>
              <w:t xml:space="preserve">Facility and environmental scope: </w:t>
            </w:r>
            <w:r>
              <w:rPr>
                <w:rFonts w:ascii="Aptos" w:cs="Aptos" w:eastAsia="Aptos" w:hAnsi="Aptos"/>
                <w:b w:val="false"/>
                <w:bCs w:val="false"/>
                <w:i w:val="false"/>
                <w:iCs w:val="false"/>
                <w:color w:val="000000"/>
                <w:sz w:val="24"/>
                <w:szCs w:val="24"/>
              </w:rPr>
              <w:t xml:space="preserve">fire, flood, temperature, utility/power, EMP, and physical intrusion</w:t>
            </w:r>
          </w:p>
          <w:p>
            <w:pPr>
              <w:spacing w:after="40"/>
            </w:pPr>
            <w:r>
              <w:rPr>
                <w:rFonts w:ascii="Aptos" w:cs="Aptos" w:eastAsia="Aptos" w:hAnsi="Aptos"/>
                <w:b/>
                <w:bCs/>
                <w:i w:val="false"/>
                <w:iCs w:val="false"/>
                <w:color w:val="000000"/>
                <w:sz w:val="24"/>
                <w:szCs w:val="24"/>
              </w:rPr>
              <w:t xml:space="preserve">Assessment period: </w:t>
            </w:r>
            <w:r>
              <w:rPr>
                <w:rFonts w:ascii="Aptos" w:cs="Aptos" w:eastAsia="Aptos" w:hAnsi="Aptos"/>
                <w:b w:val="false"/>
                <w:bCs w:val="false"/>
                <w:i w:val="false"/>
                <w:iCs w:val="false"/>
                <w:color w:val="000000"/>
                <w:sz w:val="24"/>
                <w:szCs w:val="24"/>
              </w:rPr>
              <w:t xml:space="preserve">2026-01-15 to 2026-03-15</w:t>
            </w:r>
          </w:p>
          <w:p>
            <w:pPr>
              <w:spacing w:after="40"/>
            </w:pPr>
            <w:r>
              <w:rPr>
                <w:rFonts w:ascii="Aptos" w:cs="Aptos" w:eastAsia="Aptos" w:hAnsi="Aptos"/>
                <w:b/>
                <w:bCs/>
                <w:i w:val="false"/>
                <w:iCs w:val="false"/>
                <w:color w:val="000000"/>
                <w:sz w:val="24"/>
                <w:szCs w:val="24"/>
              </w:rPr>
              <w:t xml:space="preserve">Owner: </w:t>
            </w:r>
            <w:r>
              <w:rPr>
                <w:rFonts w:ascii="Aptos" w:cs="Aptos" w:eastAsia="Aptos" w:hAnsi="Aptos"/>
                <w:b w:val="false"/>
                <w:bCs w:val="false"/>
                <w:i w:val="false"/>
                <w:iCs w:val="false"/>
                <w:color w:val="000000"/>
                <w:sz w:val="24"/>
                <w:szCs w:val="24"/>
              </w:rPr>
              <w:t xml:space="preserve">Security Coordinator</w:t>
            </w:r>
          </w:p>
          <w:p>
            <w:pPr>
              <w:spacing w:after="40"/>
            </w:pPr>
            <w:r>
              <w:rPr>
                <w:rFonts w:ascii="Aptos" w:cs="Aptos" w:eastAsia="Aptos" w:hAnsi="Aptos"/>
                <w:b/>
                <w:bCs/>
                <w:i w:val="false"/>
                <w:iCs w:val="false"/>
                <w:color w:val="000000"/>
                <w:sz w:val="24"/>
                <w:szCs w:val="24"/>
              </w:rPr>
              <w:t xml:space="preserve">Classification: </w:t>
            </w:r>
            <w:r>
              <w:rPr>
                <w:rFonts w:ascii="Aptos" w:cs="Aptos" w:eastAsia="Aptos" w:hAnsi="Aptos"/>
                <w:b w:val="false"/>
                <w:bCs w:val="false"/>
                <w:i w:val="false"/>
                <w:iCs w:val="false"/>
                <w:color w:val="000000"/>
                <w:sz w:val="24"/>
                <w:szCs w:val="24"/>
              </w:rPr>
              <w:t xml:space="preserve">Restricted</w:t>
            </w:r>
          </w:p>
        </w:tc>
      </w:tr>
    </w:tbl>
    <w:p>
      <w:pPr>
        <w:pStyle w:val="Heading2"/>
      </w:pPr>
      <w:r>
        <w:t xml:space="preserve">1. Executive Summary</w:t>
      </w:r>
    </w:p>
    <w:p>
      <w:pPr>
        <w:spacing w:after="80"/>
      </w:pPr>
      <w:r>
        <w:rPr>
          <w:rFonts w:ascii="Aptos" w:cs="Aptos" w:eastAsia="Aptos" w:hAnsi="Aptos"/>
          <w:b w:val="false"/>
          <w:bCs w:val="false"/>
          <w:i w:val="false"/>
          <w:iCs w:val="false"/>
          <w:color w:val="000000"/>
          <w:sz w:val="24"/>
          <w:szCs w:val="24"/>
        </w:rPr>
        <w:t xml:space="preserve">Wabash Valley Communications completed an internal assessment with vulnerability scanning and an external review. Patch and configuration hygiene have improved, and the unpatched CAD application server found in scanning has been remediated. The leading open item is enforcement of multifactor authentication for remote administrative access. Six findings were recorded and tracked in the Risk / Finding Register.</w:t>
      </w:r>
    </w:p>
    <w:p>
      <w:pPr>
        <w:pStyle w:val="Heading2"/>
      </w:pPr>
      <w:r>
        <w:t xml:space="preserve">2. Methodology</w:t>
      </w:r>
    </w:p>
    <w:p>
      <w:pPr>
        <w:spacing w:after="80"/>
      </w:pPr>
      <w:r>
        <w:rPr>
          <w:rFonts w:ascii="Aptos" w:cs="Aptos" w:eastAsia="Aptos" w:hAnsi="Aptos"/>
          <w:b w:val="false"/>
          <w:bCs w:val="false"/>
          <w:i w:val="false"/>
          <w:iCs w:val="false"/>
          <w:color w:val="000000"/>
          <w:sz w:val="24"/>
          <w:szCs w:val="24"/>
        </w:rPr>
        <w:t xml:space="preserve">Methods used: interviews, configuration and vulnerability review, document review, and a tabletop walk-through of call-handling continuity.</w:t>
      </w:r>
    </w:p>
    <w:p>
      <w:pPr>
        <w:spacing w:after="80"/>
      </w:pPr>
      <w:r>
        <w:rPr>
          <w:rFonts w:ascii="Aptos" w:cs="Aptos" w:eastAsia="Aptos" w:hAnsi="Aptos"/>
          <w:b w:val="false"/>
          <w:bCs w:val="false"/>
          <w:i w:val="false"/>
          <w:iCs w:val="false"/>
          <w:color w:val="000000"/>
          <w:sz w:val="24"/>
          <w:szCs w:val="24"/>
        </w:rPr>
        <w:t xml:space="preserve">Impact scoring: each risk is scored High, Medium, or Low on three axes (effect on service, effect on data, effect on life safety). The overall rating takes the highest axis, raised one level when two or more axes score High. Reference: Risk Management Methodology Standard and Risk Assessment Procedure.</w:t>
      </w:r>
    </w:p>
    <w:p>
      <w:pPr>
        <w:pStyle w:val="Heading2"/>
      </w:pPr>
      <w:r>
        <w:t xml:space="preserve">3. Threats and Failure Modes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Category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Threats / failure modes considered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Cyber / technical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Ransomware, credential compromise, CAD/ESInet outage, legacy protocols (SMBv1), misconfiguration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Personnel / process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Insider error, shared county IT priorities, part-time security coverage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Facility / environmental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Fire, flood, temperature, utility/power loss, EMP, physical intrusion at the comms room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Third-party / supply chain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CAD and ESInet vendors, cloud providers, third-party maintenance access</w:t>
            </w:r>
          </w:p>
        </w:tc>
      </w:tr>
    </w:tbl>
    <w:p>
      <w:pPr>
        <w:pStyle w:val="Heading2"/>
      </w:pPr>
      <w:r>
        <w:t xml:space="preserve">4.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850"/>
        <w:gridCol w:w="800"/>
        <w:gridCol w:w="1050"/>
        <w:gridCol w:w="950"/>
        <w:gridCol w:w="231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2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8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Service</w:t>
            </w:r>
          </w:p>
        </w:tc>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w:t>
            </w:r>
          </w:p>
        </w:tc>
        <w:tc>
          <w:tcPr>
            <w:tcW w:type="dxa" w:w="10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Life safety</w:t>
            </w:r>
          </w:p>
        </w:tc>
        <w:tc>
          <w:tcPr>
            <w:tcW w:type="dxa" w:w="9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Overall</w:t>
            </w:r>
          </w:p>
        </w:tc>
        <w:tc>
          <w:tcPr>
            <w:tcW w:type="dxa" w:w="231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Unpatched OS on a CAD application server (remediated)</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High</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Patch applied in the maintenance window; verified</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MFA not enforced for remote administrative access</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High</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Enforce MFA on the VPN and admin accounts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Legacy SMBv1 enabled on two file shares</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Medium</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Disable SMBv1 after dependency check</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Logging not centralized; retention gaps</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Medium</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Forward logs to the county store; set retention</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Second-site failover not tested in 12 months</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High</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Schedule a failover test with the ESInet provider</w:t>
            </w:r>
          </w:p>
        </w:tc>
      </w:tr>
    </w:tbl>
    <w:p>
      <w:pPr>
        <w:pStyle w:val="Heading2"/>
      </w:pPr>
      <w:r>
        <w:t xml:space="preserve">5. Prioritization and Handoff</w:t>
      </w:r>
    </w:p>
    <w:p>
      <w:pPr>
        <w:spacing w:after="80"/>
      </w:pPr>
      <w:r>
        <w:rPr>
          <w:rFonts w:ascii="Aptos" w:cs="Aptos" w:eastAsia="Aptos" w:hAnsi="Aptos"/>
          <w:b w:val="false"/>
          <w:bCs w:val="false"/>
          <w:i w:val="false"/>
          <w:iCs w:val="false"/>
          <w:color w:val="000000"/>
          <w:sz w:val="24"/>
          <w:szCs w:val="24"/>
        </w:rPr>
        <w:t xml:space="preserve">Findings are prioritized by life-safety and service-continuity impact. Each open finding is entered into the Risk / Finding Register (POA&amp;M) for tracking to closure, and each material risk is recorded in the Risk Register with its treatment decision. This report does not track remediation; the POA&amp;M is the single source of truth for finding status.</w:t>
      </w:r>
    </w:p>
    <w:p>
      <w:pPr>
        <w:spacing w:after="80"/>
      </w:pPr>
      <w:r>
        <w:rPr>
          <w:rFonts w:ascii="Aptos" w:cs="Aptos" w:eastAsia="Aptos" w:hAnsi="Aptos"/>
          <w:b w:val="false"/>
          <w:bCs w:val="false"/>
          <w:i w:val="false"/>
          <w:iCs w:val="false"/>
          <w:color w:val="000000"/>
          <w:sz w:val="24"/>
          <w:szCs w:val="24"/>
        </w:rPr>
        <w:t xml:space="preserve">Prioritized for handoff: the life-safety findings first (MFA enforcement and the untested failover), then the remaining items in impact order.</w:t>
      </w:r>
    </w:p>
    <w:p>
      <w:pPr>
        <w:pStyle w:val="Heading2"/>
      </w:pPr>
      <w:r>
        <w:t xml:space="preserve">Profile Scaling Notes</w:t>
      </w:r>
    </w:p>
    <w:p>
      <w:pPr>
        <w:spacing w:after="80"/>
      </w:pPr>
      <w:r>
        <w:rPr>
          <w:rFonts w:ascii="Aptos" w:cs="Aptos" w:eastAsia="Aptos" w:hAnsi="Aptos"/>
          <w:b w:val="false"/>
          <w:bCs w:val="false"/>
          <w:i w:val="false"/>
          <w:iCs w:val="false"/>
          <w:color w:val="000000"/>
          <w:sz w:val="24"/>
          <w:szCs w:val="24"/>
        </w:rPr>
        <w:t xml:space="preserve">Wabash Valley Communications is a Medium-profile PSAP. It runs a scheduled assessment with vulnerability scanning and a tabletop element; the Security Coordinator owns scoring and the handoff to the Risk / Finding Register. The next step up is continuous monitoring of the CAD and network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80"/>
            </w:pPr>
            <w:r>
              <w:rPr>
                <w:rFonts w:ascii="Aptos" w:cs="Aptos" w:eastAsia="Aptos" w:hAnsi="Aptos"/>
                <w:b w:val="false"/>
                <w:bCs w:val="false"/>
                <w:i/>
                <w:iCs/>
                <w:color w:val="595959"/>
                <w:sz w:val="24"/>
                <w:szCs w:val="24"/>
              </w:rPr>
              <w:t xml:space="preserve">List only the authorities that map to content in this artifact. Group by authority; order numerically. No padding.</w:t>
            </w:r>
          </w:p>
          <w:p>
            <w:pPr>
              <w:spacing w:after="20"/>
            </w:pPr>
            <w:r>
              <w:rPr>
                <w:rFonts w:ascii="Aptos" w:cs="Aptos" w:eastAsia="Aptos" w:hAnsi="Aptos"/>
                <w:b w:val="false"/>
                <w:bCs w:val="false"/>
                <w:i w:val="false"/>
                <w:iCs w:val="false"/>
                <w:color w:val="000000"/>
                <w:sz w:val="24"/>
                <w:szCs w:val="24"/>
              </w:rPr>
              <w:t xml:space="preserve">NENA-STA-040.2-2024: §4.2.1, §4.3, §4.3.1, §4.3.2, §5.2</w:t>
            </w:r>
          </w:p>
          <w:p>
            <w:pPr>
              <w:spacing w:after="20"/>
            </w:pPr>
            <w:r>
              <w:rPr>
                <w:rFonts w:ascii="Aptos" w:cs="Aptos" w:eastAsia="Aptos" w:hAnsi="Aptos"/>
                <w:b w:val="false"/>
                <w:bCs w:val="false"/>
                <w:i w:val="false"/>
                <w:iCs w:val="false"/>
                <w:color w:val="000000"/>
                <w:sz w:val="24"/>
                <w:szCs w:val="24"/>
              </w:rPr>
              <w:t xml:space="preserve">NIST SP 800-53 Rev. 5: CA-2, PE-13, PE-14, PE-15, PE-18, PM-9, RA-2, RA-3, RA-7</w:t>
            </w:r>
          </w:p>
        </w:tc>
      </w:tr>
    </w:tbl>
    <w:p>
      <w:pPr>
        <w:pStyle w:val="Heading2"/>
      </w:pPr>
      <w: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Security Coordinator (assessor)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2026-05-08</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Reviewed by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2026-05-08</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2026-05-08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Initial issue; 2026 assessment cycle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6c7d6129e5c6834a11de9e3e4cc952addc1549.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be6c7d6129e5c6834a11de9e3e4cc952addc1549.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2026-06-04T20:32:00.616Z</dcterms:created>
  <dcterms:modified xsi:type="dcterms:W3CDTF">2026-06-04T20:32:00.616Z</dcterms:modified>
  <dc:title xmlns:dc="http://purl.org/dc/elements/1.1/">Risk Assessment Report - EXAMPLE - M</dc:title>
</cp:coreProperties>
</file>

<file path=docProps/custom.xml><?xml version="1.0" encoding="utf-8"?>
<Properties xmlns="http://schemas.openxmlformats.org/officeDocument/2006/custom-properties" xmlns:vt="http://schemas.openxmlformats.org/officeDocument/2006/docPropsVTypes"/>
</file>