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Data Classification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Hickory County 911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Tracy Holloway,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March 2, 2026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March 2, 2027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>Owner: Director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Internal</w:t>
            </w:r>
          </w:p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defines how the Agency classifies its data by sensitivity and what protection each level requires. Classification drives the controls applied downstream: encryption, retention, disposal, and access. Consistent labels let staff handle each kind of data correctly without case-by-case judgment.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Applies to: all Agency personnel and any contractor or vendor who creates, receives, stores, or transmits Agency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Covers: all data the Agency owns or handles in support of 9-1-1 operations, in any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Excludes: data owned and controlled solely by the Sheriff's Office under a separate arrangement.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 Internal / CJIS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classifies its data into the tiers defined below and applies the minimum protection set for each tier.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New and incoming data is given a default label by the Director; unlabeled data is treated as Restricted until classified.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Labels are reviewed when data is shared across departments or with an external party, and adjusted if its sensitivity changes.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Access is granted by label and need to know; the Data Access Monitoring Policy governs how label-based access is monitored and how denials are logged.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Data sharing follows the Agency's data-sharing approval process; classification does not by itself authorize release.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5. Classification Tiers &amp;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2900"/>
        <w:gridCol w:w="1750"/>
        <w:gridCol w:w="3160"/>
      </w:tblGrid>
      <w:tr>
        <w:trPr>
          <w:cantSplit/>
          <w:tblHeader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Tier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Typical PSAP data types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Default label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Minimum protection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Internal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Operational SOPs, schedules, and non-sensitive records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INTERNAL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Access limited to center personnel; no public posting.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CAD records, ALI/location data, network detail, IR and continuity plans, CJIS-regulated data via IDACS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RESTRICTED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Need-to-know access; encrypt in transit; follow the Document Handling Standard.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Confidential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Dispatcher personnel files and any incident-subject PII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CONFIDENTIAL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Strict need-to-know; encrypt at rest and in transit; restricted storage and disposal.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Relationship to system categorization: this policy classifies data. System criticality (Confidentiality, Integrity, Availability impact) is set in the Asset Criticality Ranking Matrix. Use the two together; do not re-derive system categorization here.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6.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Owns this policy and approves exceptions.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Assigns default labels and reviews them on transfer.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Hickory County IT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Applies the technical protection each tier requires.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All personnel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Handle data per its label and report mislabeling.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7. Enforcement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Director monitors compliance. Mislabeled or mishandled data is corrected and recorded, and repeated violations are handled under the Agency's corrective-action process.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8. Exceptions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Exceptions require written approval from the Director, must state the data and handling affected, and expire after 90 days unless renewed.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9. Review Schedule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is reviewed at least annually and whenever new data types or regulations come into scope, by the Director.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Adopt the three tiers as written and map your data types in the table. The director owns labeling. A single shared drive with folders per tier is enough to start.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CJIS Handling Addendum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CJIS Handling: CJIS-regulated data is classified at Restricted or higher and handled under the FBI CJIS Security Policy in addition to this policy. Where the Agency classifies CJIS-regulated data, append “ / CJIS” to this policy's classification.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§4.1.4, §4.2.2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AC-16, MP-1, RA-2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Indiana statutes and administrative code: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 IC 24-4.9: Data Breach Notification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March 2,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March 2, 2026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March 2, 2026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 and adoption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_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Data Classification Policy - EXAMPLE - 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