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Incident Response Plan (IRP)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April 13,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April 13, 2027</w:t>
            </w:r>
          </w:p>
          <w:p>
            <w:pPr>
              <w:spacing w:after="60"/>
            </w:pPr>
            <w:r>
              <w:rPr>
                <w:rFonts w:ascii="Aptos" w:cs="Aptos" w:eastAsia="Aptos" w:hAnsi="Aptos"/>
                <w:b/>
                <w:bCs/>
                <w:i w:val="false"/>
                <w:iCs w:val="false"/>
                <w:sz w:val="24"/>
                <w:szCs w:val="24"/>
              </w:rPr>
              <w:t>Owner: 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 / CJIS</w:t>
            </w:r>
          </w:p>
          <w:p>
            <w:pPr>
              <w:spacing w:after="0"/>
            </w:pPr>
          </w:p>
        </w:tc>
      </w:tr>
    </w:tbl>
    <w:p>
      <w:pPr>
        <w:spacing w:after="60"/>
      </w:pPr>
    </w:p>
    <w:p>
      <w:pPr>
        <w:pStyle w:val="Heading2"/>
        <w:spacing w:after="100" w:before="220"/>
      </w:pPr>
      <w:r>
        <w:rPr>
          <w:rFonts w:ascii="Aptos" w:cs="Aptos" w:eastAsia="Aptos" w:hAnsi="Aptos"/>
          <w:b/>
          <w:bCs/>
          <w:color w:val="1B3A5C"/>
          <w:sz w:val="26"/>
          <w:szCs w:val="26"/>
        </w:rPr>
        <w:t xml:space="preserve">1. Purpose &amp; Scope</w:t>
      </w:r>
    </w:p>
    <w:p>
      <w:pPr>
        <w:spacing w:after="60" w:before="0"/>
      </w:pPr>
      <w:r>
        <w:rPr>
          <w:rFonts w:ascii="Aptos" w:cs="Aptos" w:eastAsia="Aptos" w:hAnsi="Aptos"/>
          <w:b w:val="false"/>
          <w:bCs w:val="false"/>
          <w:i w:val="false"/>
          <w:iCs w:val="false"/>
          <w:sz w:val="24"/>
          <w:szCs w:val="24"/>
        </w:rPr>
        <w:t>Purpose: to identify, contain, resolve, and report cybersecurity incidents affecting the Agency's public-safety systems, while keeping 9-1-1 call handling running.</w:t>
      </w:r>
    </w:p>
    <w:p>
      <w:pPr>
        <w:spacing w:after="120" w:before="0"/>
      </w:pPr>
      <w:r>
        <w:rPr>
          <w:rFonts w:ascii="Aptos" w:cs="Aptos" w:eastAsia="Aptos" w:hAnsi="Aptos"/>
          <w:b w:val="false"/>
          <w:bCs w:val="false"/>
          <w:i w:val="false"/>
          <w:iCs w:val="false"/>
          <w:sz w:val="24"/>
          <w:szCs w:val="24"/>
        </w:rPr>
        <w:t>Scope: all Agency systems that support 9-1-1 call handling and dispatch, including CAD, call handling, GIS, and systems reached through IDACS.</w:t>
      </w:r>
    </w:p>
    <w:p>
      <w:pPr>
        <w:pStyle w:val="Heading2"/>
        <w:spacing w:after="100" w:before="220"/>
      </w:pPr>
      <w:r>
        <w:rPr>
          <w:rFonts w:ascii="Aptos" w:cs="Aptos" w:eastAsia="Aptos" w:hAnsi="Aptos"/>
          <w:b/>
          <w:bCs/>
          <w:color w:val="1B3A5C"/>
          <w:sz w:val="26"/>
          <w:szCs w:val="26"/>
        </w:rPr>
        <w:t>2. Operating Constraint: Call-Handling Continuity</w:t>
      </w:r>
    </w:p>
    <w:p>
      <w:pPr>
        <w:spacing w:after="60" w:before="0"/>
      </w:pPr>
      <w:r>
        <w:rPr>
          <w:rFonts w:ascii="Aptos" w:cs="Aptos" w:eastAsia="Aptos" w:hAnsi="Aptos"/>
          <w:b w:val="false"/>
          <w:bCs w:val="false"/>
          <w:i w:val="false"/>
          <w:iCs w:val="false"/>
          <w:sz w:val="24"/>
          <w:szCs w:val="24"/>
        </w:rPr>
        <w:t>No containment, isolation, or eradication step in this plan may sever 9-1-1 call processing. If a response action would interrupt call handling, the Director first moves call handling to its backup path under the Backup Call-Handling / Dispatch Continuity Procedure, then proceeds. Continuity of call handling outranks every other response objective.</w:t>
      </w:r>
    </w:p>
    <w:p>
      <w:pPr>
        <w:pStyle w:val="Heading2"/>
        <w:spacing w:after="100" w:before="220"/>
      </w:pPr>
      <w:r>
        <w:rPr>
          <w:rFonts w:ascii="Aptos" w:cs="Aptos" w:eastAsia="Aptos" w:hAnsi="Aptos"/>
          <w:b/>
          <w:bCs/>
          <w:color w:val="1B3A5C"/>
          <w:sz w:val="26"/>
          <w:szCs w:val="26"/>
        </w:rPr>
        <w:t>3. Definitions</w:t>
      </w:r>
    </w:p>
    <w:p>
      <w:pPr>
        <w:spacing w:after="120" w:before="0"/>
      </w:pPr>
      <w:r>
        <w:rPr>
          <w:rFonts w:ascii="Aptos" w:cs="Aptos" w:eastAsia="Aptos" w:hAnsi="Aptos"/>
          <w:b w:val="false"/>
          <w:bCs w:val="false"/>
          <w:i w:val="false"/>
          <w:iCs w:val="false"/>
          <w:sz w:val="24"/>
          <w:szCs w:val="24"/>
        </w:rPr>
        <w:t>Incident: an event that harms, or threatens to harm, the confidentiality, integrity, or availability of an Agency system or its data.</w:t>
      </w:r>
    </w:p>
    <w:p>
      <w:pPr>
        <w:spacing w:after="120" w:before="0"/>
      </w:pPr>
      <w:r>
        <w:rPr>
          <w:rFonts w:ascii="Aptos" w:cs="Aptos" w:eastAsia="Aptos" w:hAnsi="Aptos"/>
          <w:b w:val="false"/>
          <w:bCs w:val="false"/>
          <w:i w:val="false"/>
          <w:iCs w:val="false"/>
          <w:sz w:val="24"/>
          <w:szCs w:val="24"/>
        </w:rPr>
        <w:t>Declaration: the point at which the Director formally activates this plan.</w:t>
      </w:r>
    </w:p>
    <w:p>
      <w:pPr>
        <w:pStyle w:val="Heading2"/>
        <w:spacing w:after="100" w:before="220"/>
      </w:pPr>
      <w:r>
        <w:rPr>
          <w:rFonts w:ascii="Aptos" w:cs="Aptos" w:eastAsia="Aptos" w:hAnsi="Aptos"/>
          <w:b/>
          <w:bCs/>
          <w:color w:val="1B3A5C"/>
          <w:sz w:val="26"/>
          <w:szCs w:val="26"/>
        </w:rPr>
        <w:t>4.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 during activation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Declares incidents, leads response, approves external reporting, protects call-handling continuity.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Performs containment, eradication, and recovery; preserves evidence.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Shift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Keeps call handling running and moves to the backup path when directed.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suspected incidents immediately to the Director.</w:t>
            </w:r>
          </w:p>
        </w:tc>
      </w:tr>
    </w:tbl>
    <w:p>
      <w:pPr>
        <w:pStyle w:val="Heading2"/>
        <w:spacing w:after="100" w:before="220"/>
      </w:pPr>
      <w:r>
        <w:rPr>
          <w:rFonts w:ascii="Aptos" w:cs="Aptos" w:eastAsia="Aptos" w:hAnsi="Aptos"/>
          <w:b/>
          <w:bCs/>
          <w:color w:val="1B3A5C"/>
          <w:sz w:val="26"/>
          <w:szCs w:val="26"/>
        </w:rPr>
        <w:t>5. Incident Command Structure</w:t>
      </w:r>
    </w:p>
    <w:p>
      <w:pPr>
        <w:spacing w:after="60" w:before="0"/>
      </w:pPr>
      <w:r>
        <w:rPr>
          <w:rFonts w:ascii="Aptos" w:cs="Aptos" w:eastAsia="Aptos" w:hAnsi="Aptos"/>
          <w:b w:val="false"/>
          <w:bCs w:val="false"/>
          <w:i w:val="false"/>
          <w:iCs w:val="false"/>
          <w:sz w:val="24"/>
          <w:szCs w:val="24"/>
        </w:rPr>
        <w:t>The Director is the incident commander and declares activation. Response roles scale with severity per the Incident Classification &amp; Severity Matrix: a low-severity event may be handled by IT support with the commander informed, while a high-severity event brings in the full team and external support. The commander may delegate specific roles but remains accountable for the response and for call-handling continuity. The part-time security coordinator supports the commander and tracks the response.</w:t>
      </w:r>
    </w:p>
    <w:p>
      <w:pPr>
        <w:pStyle w:val="Heading2"/>
        <w:spacing w:after="100" w:before="220"/>
      </w:pPr>
      <w:r>
        <w:rPr>
          <w:rFonts w:ascii="Aptos" w:cs="Aptos" w:eastAsia="Aptos" w:hAnsi="Aptos"/>
          <w:b/>
          <w:bCs/>
          <w:color w:val="1B3A5C"/>
          <w:sz w:val="26"/>
          <w:szCs w:val="26"/>
        </w:rPr>
        <w:t>6. Activation Criteria</w:t>
      </w:r>
    </w:p>
    <w:p>
      <w:pPr>
        <w:pStyle w:val="ListParagraph"/>
        <w:numPr>
          <w:ilvl w:val="0"/>
          <w:numId w:val="2"/>
        </w:numPr>
        <w:spacing w:after="60"/>
      </w:pPr>
      <w:r>
        <w:rPr>
          <w:rFonts w:ascii="Aptos" w:cs="Aptos" w:eastAsia="Aptos" w:hAnsi="Aptos"/>
          <w:b w:val="false"/>
          <w:bCs w:val="false"/>
          <w:i w:val="false"/>
          <w:iCs w:val="false"/>
          <w:sz w:val="24"/>
          <w:szCs w:val="24"/>
        </w:rPr>
        <w:t>Triggers: a confirmed or suspected incident, for example malware, unauthorized access, a data spill, or a denial-of-service condition affecting a public-safety system.</w:t>
      </w:r>
    </w:p>
    <w:p>
      <w:pPr>
        <w:pStyle w:val="ListParagraph"/>
        <w:numPr>
          <w:ilvl w:val="0"/>
          <w:numId w:val="2"/>
        </w:numPr>
        <w:spacing w:after="60"/>
      </w:pPr>
      <w:r>
        <w:rPr>
          <w:rFonts w:ascii="Aptos" w:cs="Aptos" w:eastAsia="Aptos" w:hAnsi="Aptos"/>
          <w:b w:val="false"/>
          <w:bCs w:val="false"/>
          <w:i w:val="false"/>
          <w:iCs w:val="false"/>
          <w:sz w:val="24"/>
          <w:szCs w:val="24"/>
        </w:rPr>
        <w:t>Declared by: Director.</w:t>
      </w:r>
    </w:p>
    <w:p>
      <w:pPr>
        <w:pStyle w:val="ListParagraph"/>
        <w:numPr>
          <w:ilvl w:val="0"/>
          <w:numId w:val="2"/>
        </w:numPr>
        <w:spacing w:after="60"/>
      </w:pPr>
      <w:r>
        <w:rPr>
          <w:rFonts w:ascii="Aptos" w:cs="Aptos" w:eastAsia="Aptos" w:hAnsi="Aptos"/>
          <w:b w:val="false"/>
          <w:bCs w:val="false"/>
          <w:i w:val="false"/>
          <w:iCs w:val="false"/>
          <w:sz w:val="24"/>
          <w:szCs w:val="24"/>
        </w:rPr>
        <w:t>Notified on activation: Shared county IT, the shift supervisor, and other roles in the contact appendix as the severity requires.</w:t>
      </w:r>
    </w:p>
    <w:p>
      <w:pPr>
        <w:pStyle w:val="Heading2"/>
        <w:spacing w:after="100" w:before="220"/>
      </w:pPr>
      <w:r>
        <w:rPr>
          <w:rFonts w:ascii="Aptos" w:cs="Aptos" w:eastAsia="Aptos" w:hAnsi="Aptos"/>
          <w:b/>
          <w:bCs/>
          <w:color w:val="1B3A5C"/>
          <w:sz w:val="26"/>
          <w:szCs w:val="26"/>
        </w:rPr>
        <w:t>7. Step-by-Step Procedures</w:t>
      </w:r>
    </w:p>
    <w:p>
      <w:pPr>
        <w:pStyle w:val="ListParagraph"/>
        <w:numPr>
          <w:ilvl w:val="0"/>
          <w:numId w:val="3"/>
        </w:numPr>
        <w:spacing w:after="60"/>
      </w:pPr>
      <w:r>
        <w:rPr>
          <w:rFonts w:ascii="Aptos" w:cs="Aptos" w:eastAsia="Aptos" w:hAnsi="Aptos"/>
          <w:b w:val="false"/>
          <w:bCs w:val="false"/>
          <w:i w:val="false"/>
          <w:iCs w:val="false"/>
          <w:sz w:val="24"/>
          <w:szCs w:val="24"/>
        </w:rPr>
        <w:t>Detect and report: staff report a suspected incident to the Director.  (All personnel)</w:t>
      </w:r>
    </w:p>
    <w:p>
      <w:pPr>
        <w:pStyle w:val="ListParagraph"/>
        <w:numPr>
          <w:ilvl w:val="0"/>
          <w:numId w:val="3"/>
        </w:numPr>
        <w:spacing w:after="60"/>
      </w:pPr>
      <w:r>
        <w:rPr>
          <w:rFonts w:ascii="Aptos" w:cs="Aptos" w:eastAsia="Aptos" w:hAnsi="Aptos"/>
          <w:b w:val="false"/>
          <w:bCs w:val="false"/>
          <w:i w:val="false"/>
          <w:iCs w:val="false"/>
          <w:sz w:val="24"/>
          <w:szCs w:val="24"/>
        </w:rPr>
        <w:t>Declare and classify: the commander declares the incident and sets severity using the Incident Classification &amp; Severity Matrix.  (Director)</w:t>
      </w:r>
    </w:p>
    <w:p>
      <w:pPr>
        <w:pStyle w:val="ListParagraph"/>
        <w:numPr>
          <w:ilvl w:val="0"/>
          <w:numId w:val="3"/>
        </w:numPr>
        <w:spacing w:after="60"/>
      </w:pPr>
      <w:r>
        <w:rPr>
          <w:rFonts w:ascii="Aptos" w:cs="Aptos" w:eastAsia="Aptos" w:hAnsi="Aptos"/>
          <w:b w:val="false"/>
          <w:bCs w:val="false"/>
          <w:i w:val="false"/>
          <w:iCs w:val="false"/>
          <w:sz w:val="24"/>
          <w:szCs w:val="24"/>
        </w:rPr>
        <w:t>Protect call handling: confirm 9-1-1 call processing is running; move to the backup path before any step that would interrupt it.  (Shift supervisor)</w:t>
      </w:r>
    </w:p>
    <w:p>
      <w:pPr>
        <w:pStyle w:val="ListParagraph"/>
        <w:numPr>
          <w:ilvl w:val="0"/>
          <w:numId w:val="3"/>
        </w:numPr>
        <w:spacing w:after="60"/>
      </w:pPr>
      <w:r>
        <w:rPr>
          <w:rFonts w:ascii="Aptos" w:cs="Aptos" w:eastAsia="Aptos" w:hAnsi="Aptos"/>
          <w:b w:val="false"/>
          <w:bCs w:val="false"/>
          <w:i w:val="false"/>
          <w:iCs w:val="false"/>
          <w:sz w:val="24"/>
          <w:szCs w:val="24"/>
        </w:rPr>
        <w:t>Contain: isolate affected systems within the limits of the Operating Constraint; where credentials are suspected compromised, rotate or vault them per the Privileged Access Management Policy and record it in the Default Credential Remediation Log.  (Shared county IT)</w:t>
      </w:r>
    </w:p>
    <w:p>
      <w:pPr>
        <w:pStyle w:val="ListParagraph"/>
        <w:numPr>
          <w:ilvl w:val="0"/>
          <w:numId w:val="3"/>
        </w:numPr>
        <w:spacing w:after="60"/>
      </w:pPr>
      <w:r>
        <w:rPr>
          <w:rFonts w:ascii="Aptos" w:cs="Aptos" w:eastAsia="Aptos" w:hAnsi="Aptos"/>
          <w:b w:val="false"/>
          <w:bCs w:val="false"/>
          <w:i w:val="false"/>
          <w:iCs w:val="false"/>
          <w:sz w:val="24"/>
          <w:szCs w:val="24"/>
        </w:rPr>
        <w:t>For a data spill, follow the Unauthorized Disclosure Response &amp; Notification Procedures to contain and assess scope.  (Shared county IT)</w:t>
      </w:r>
    </w:p>
    <w:p>
      <w:pPr>
        <w:pStyle w:val="ListParagraph"/>
        <w:numPr>
          <w:ilvl w:val="0"/>
          <w:numId w:val="3"/>
        </w:numPr>
        <w:spacing w:after="60"/>
      </w:pPr>
      <w:r>
        <w:rPr>
          <w:rFonts w:ascii="Aptos" w:cs="Aptos" w:eastAsia="Aptos" w:hAnsi="Aptos"/>
          <w:b w:val="false"/>
          <w:bCs w:val="false"/>
          <w:i w:val="false"/>
          <w:iCs w:val="false"/>
          <w:sz w:val="24"/>
          <w:szCs w:val="24"/>
        </w:rPr>
        <w:t>Eradicate and recover: remove the cause, restore from known-good backups, and verify the system before return to service.  (Shared county IT)</w:t>
      </w:r>
    </w:p>
    <w:p>
      <w:pPr>
        <w:pStyle w:val="ListParagraph"/>
        <w:numPr>
          <w:ilvl w:val="0"/>
          <w:numId w:val="3"/>
        </w:numPr>
        <w:spacing w:after="60"/>
      </w:pPr>
      <w:r>
        <w:rPr>
          <w:rFonts w:ascii="Aptos" w:cs="Aptos" w:eastAsia="Aptos" w:hAnsi="Aptos"/>
          <w:b w:val="false"/>
          <w:bCs w:val="false"/>
          <w:i w:val="false"/>
          <w:iCs w:val="false"/>
          <w:sz w:val="24"/>
          <w:szCs w:val="24"/>
        </w:rPr>
        <w:t>Report: make external notifications under Communication Procedures below.  (Director)</w:t>
      </w:r>
    </w:p>
    <w:p>
      <w:pPr>
        <w:pStyle w:val="ListParagraph"/>
        <w:numPr>
          <w:ilvl w:val="0"/>
          <w:numId w:val="3"/>
        </w:numPr>
        <w:spacing w:after="60"/>
      </w:pPr>
      <w:r>
        <w:rPr>
          <w:rFonts w:ascii="Aptos" w:cs="Aptos" w:eastAsia="Aptos" w:hAnsi="Aptos"/>
          <w:b w:val="false"/>
          <w:bCs w:val="false"/>
          <w:i w:val="false"/>
          <w:iCs w:val="false"/>
          <w:sz w:val="24"/>
          <w:szCs w:val="24"/>
        </w:rPr>
        <w:t>Close and learn: record the incident and produce an After-Action Report.  (Director)</w:t>
      </w:r>
    </w:p>
    <w:p>
      <w:pPr>
        <w:pStyle w:val="Heading2"/>
        <w:spacing w:after="100" w:before="220"/>
      </w:pPr>
      <w:r>
        <w:rPr>
          <w:rFonts w:ascii="Aptos" w:cs="Aptos" w:eastAsia="Aptos" w:hAnsi="Aptos"/>
          <w:b/>
          <w:bCs/>
          <w:color w:val="1B3A5C"/>
          <w:sz w:val="26"/>
          <w:szCs w:val="26"/>
        </w:rPr>
        <w:t>8. Communication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rPr>
          <w:cantSplit/>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Internal staff &amp; dispatch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and 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At declaration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and 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 required</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(cyber incident, HEA 1169)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and 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Within 2 business days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Affected individuals / Indiana AG (IC 24-4.9)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and 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Without unreasonable delay; AG if &gt;500 residents</w:t>
            </w:r>
          </w:p>
        </w:tc>
      </w:tr>
    </w:tbl>
    <w:p>
      <w:pPr>
        <w:pStyle w:val="Heading2"/>
        <w:spacing w:after="100" w:before="220"/>
      </w:pPr>
      <w:r>
        <w:rPr>
          <w:rFonts w:ascii="Aptos" w:cs="Aptos" w:eastAsia="Aptos" w:hAnsi="Aptos"/>
          <w:b/>
          <w:bCs/>
          <w:color w:val="1B3A5C"/>
          <w:sz w:val="26"/>
          <w:szCs w:val="26"/>
        </w:rPr>
        <w:t>9. Testing Requirements</w:t>
      </w:r>
    </w:p>
    <w:p>
      <w:pPr>
        <w:spacing w:after="120" w:before="0"/>
      </w:pPr>
      <w:r>
        <w:rPr>
          <w:rFonts w:ascii="Aptos" w:cs="Aptos" w:eastAsia="Aptos" w:hAnsi="Aptos"/>
          <w:b w:val="false"/>
          <w:bCs w:val="false"/>
          <w:i w:val="false"/>
          <w:iCs w:val="false"/>
          <w:sz w:val="24"/>
          <w:szCs w:val="24"/>
        </w:rPr>
        <w:t>Exercised at least annually through a tabletop exercise and a live drill, run by the Director; results are recorded in the Tabletop Exercise Records and After-Action Reports and fed into the IRP Revision History.</w:t>
      </w:r>
    </w:p>
    <w:p>
      <w:pPr>
        <w:pStyle w:val="Heading2"/>
        <w:spacing w:after="100" w:before="220"/>
      </w:pPr>
      <w:r>
        <w:rPr>
          <w:rFonts w:ascii="Aptos" w:cs="Aptos" w:eastAsia="Aptos" w:hAnsi="Aptos"/>
          <w:b/>
          <w:bCs/>
          <w:color w:val="1B3A5C"/>
          <w:sz w:val="26"/>
          <w:szCs w:val="26"/>
        </w:rPr>
        <w:t>10. Related Artifacts</w:t>
      </w:r>
    </w:p>
    <w:p>
      <w:pPr>
        <w:spacing w:after="60" w:before="0"/>
      </w:pPr>
      <w:r>
        <w:rPr>
          <w:rFonts w:ascii="Aptos" w:cs="Aptos" w:eastAsia="Aptos" w:hAnsi="Aptos"/>
          <w:b w:val="false"/>
          <w:bCs w:val="false"/>
          <w:i w:val="false"/>
          <w:iCs w:val="false"/>
          <w:sz w:val="24"/>
          <w:szCs w:val="24"/>
        </w:rPr>
        <w:t>This plan is the hub for: Incident Classification &amp; Severity Matrix, Incident Notification &amp; Escalation Contact List, Backup Call-Handling / Dispatch Continuity Procedure, Tabletop Exercise Records, After-Action Reports, IRP Revision History / Update Log, Incident Log / Register, TDoS / DoS Response Procedure, Unauthorized Disclosure Response &amp; Notification Procedures, Forensic Readiness Plan, Evidence Collection &amp; Chain-of-Custody Procedures, and System Isolation Procedure.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named coordinator owns the plan and runs an annual tabletop plus a live drill with county IT. Severity tiers decide who is pulled in.</w:t>
            </w:r>
          </w:p>
        </w:tc>
      </w:tr>
    </w:tbl>
    <w:p>
      <w:pPr>
        <w:pStyle w:val="Heading2"/>
        <w:spacing w:after="100" w:before="220"/>
      </w:pPr>
      <w:r>
        <w:rPr>
          <w:rFonts w:ascii="Aptos" w:cs="Aptos" w:eastAsia="Aptos" w:hAnsi="Aptos"/>
          <w:b/>
          <w:bCs/>
          <w:color w:val="1B3A5C"/>
          <w:sz w:val="26"/>
          <w:szCs w:val="26"/>
        </w:rPr>
        <w:t xml:space="preserve">CJIS / Indiana Overlay Note</w:t>
      </w:r>
    </w:p>
    <w:p>
      <w:pPr>
        <w:spacing w:after="140"/>
      </w:pPr>
      <w:r>
        <w:rPr>
          <w:rFonts w:ascii="Aptos" w:cs="Aptos" w:eastAsia="Aptos" w:hAnsi="Aptos"/>
          <w:i/>
          <w:iCs/>
          <w:color w:val="595959"/>
          <w:sz w:val="24"/>
          <w:szCs w:val="24"/>
        </w:rPr>
        <w:t>CJIS / Indiana overlay: incidents involving IDACS-reached systems are handled under the FBI CJIS Security Policy §5.3 (Incident Response) in addition to this plan. Indiana HEA 1169 requires reporting cyber incidents to the IOT within two business days; IC 24-4.9 requires notifying affected Indiana residents without unreasonable delay, and the Indiana Attorney General when more than 500 residents are affected.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§5.6.5, §5.7</w:t>
            </w:r>
          </w:p>
          <w:p>
            <w:pPr>
              <w:spacing w:after="40" w:before="0"/>
            </w:pPr>
            <w:r>
              <w:rPr>
                <w:rFonts w:ascii="Aptos" w:cs="Aptos" w:eastAsia="Aptos" w:hAnsi="Aptos"/>
                <w:b w:val="false"/>
                <w:bCs w:val="false"/>
                <w:i w:val="false"/>
                <w:iCs w:val="false"/>
                <w:sz w:val="24"/>
                <w:szCs w:val="24"/>
              </w:rPr>
              <w:t>NIST SP 800-53 Rev. 5: IR-1, IR-4, IR-5, IR-6, IR-8</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CJIS Security Policy v5.9: §5.3 (Incident Response;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April 13,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April 13,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April 13,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Incident Response Plan (IRP) - EXAMPLE - M</dc:title>
</cp:coreProperties>
</file>

<file path=docProps/custom.xml><?xml version="1.0" encoding="utf-8"?>
<Properties xmlns="http://schemas.openxmlformats.org/officeDocument/2006/custom-properties" xmlns:vt="http://schemas.openxmlformats.org/officeDocument/2006/docPropsVTypes"/>
</file>