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Backup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Hickory County 911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2026-02-15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2027-02-15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how Hickory County 911 backs up its critical data so the center can recover from equipment failure, ransomware, accidental deletion, or loss of a facility. It sets what is backed up, how often, how long copies are kept, and how backup media is protected, and it names the role accountable for backups.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Hickory County 911 personnel and any county or vendor IT responsible for backing up or restoring the center's systems and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all critical Hickory County 911 data identified in the Master Asset Inventory and Asset Criticality Ranking Matrix, including call recordings, dispatch and CAD logs, and databases.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systems another agency owns and backs up under a separate agreement.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Critical data: the Agency data whose loss would stop or degrade 9-1-1 call handling or dispatch, as identified in the Asset Criticality Ranking Matrix, including call recordings, dispatch and CAD logs, and operational databases.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Immutable backup: a backup copy stored so it cannot be altered or deleted for a set retention period, using write-once media or locked cloud storage.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back up all critical data identified in the Master Asset Inventory and Asset Criticality Ranking Matrix.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run backups often enough to meet the recovery point objectives set in the RTO/RPO Documentation, and shall record the schedule in the Backup Schedule &amp; Media Inventory.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keep backup copies for a defined retention period that meets operational and legal needs, consistent with the Data Retention Schedule.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encrypt backup media at rest, following the Encryption Standards Document.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keep at least one backup copy isolated from the systems it protects, using immutable or write-once storage where available, so a single failure or ransomware event cannot destroy both the systems and their backups.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store at least one backup copy off-site or off-system, separated from the primary location it protects.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verify backups through integrity checks and confirm they can be restored, as recorded in the Restoration Test Records.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Where backup sets contain criminal justice or personally identifiable information, the Agency shall apply the media-protection and encryption handling required by the CJIS Security Policy and the Data Classification Policy to those copies and their storage.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Director owns the Agency's backups, confirms this policy is followed, and is accountable for backup and recovery readiness.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 and the Agency's backups. Confirms backups run, are protected, and can be restored. Approves the retention period and any exception.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Configures and runs backup jobs, protects and stores backup media, and performs restoration tests. Keeps the Backup Schedule &amp; Media Inventory and Restoration Test Records current.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Save Agency records to backed-up systems and storage, not to local or personal devices, so their work is captured by Agency backups.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Director monitors compliance with this policy. A backup that is missing, unprotected, or unverified is recorded as a finding in the Risk / Finding Register. Violations are handled under the county's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Exceptions require written approval from the Director. A request must state the data or system affected, the reason, the compensating protection, and an expiry date. Exceptions are reviewed at least annually.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after any significant change to the Agency's systems, data, or recovery objectives, by the Director.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Adopt this policy as written. A minimum-viable setup is one encrypted external drive rotated off-site plus one cloud copy, with the director confirming a restore works at least once a year. County or vendor IT runs the jobs.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§5.7, §5.7.2, §5.7.2.1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CP-6, CP-9, CP-10, MP-5, SC-28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§5.8 (Media Protection; where backup sets contain CJIS-regulated data,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Backup Policy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