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Risk Management Methodology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Adopted by Wabash Valley Communications under the authority of Anthony Reyes, Director.</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Version: 1.0    Effective Date: March 2, 2026    Next Review: March 2, 2027</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Owner: Security Coordinator</w:t>
            </w:r>
            <w:r>
              <w:rPr>
                <w:rFonts w:ascii="Aptos" w:cs="Aptos" w:eastAsia="Aptos" w:hAnsi="Aptos"/>
                <w:b w:val="false"/>
                <w:bCs w:val="false"/>
                <w:i w:val="false"/>
                <w:iCs w:val="false"/>
                <w:sz w:val="24"/>
                <w:szCs w:val="24"/>
              </w:rPr>
              <w:t xml:space="preserve"/>
            </w:r>
          </w:p>
          <w:p>
            <w:pPr>
              <w:spacing w:after="20"/>
            </w:pPr>
            <w:r>
              <w:rPr>
                <w:rFonts w:ascii="Aptos" w:cs="Aptos" w:eastAsia="Aptos" w:hAnsi="Aptos"/>
                <w:b/>
                <w:bCs/>
                <w:i w:val="false"/>
                <w:iCs w:val="false"/>
                <w:sz w:val="24"/>
                <w:szCs w:val="24"/>
              </w:rPr>
              <w:t xml:space="preserve">Classification: Internal</w:t>
            </w:r>
            <w:r>
              <w:rPr>
                <w:rFonts w:ascii="Aptos" w:cs="Aptos" w:eastAsia="Aptos" w:hAnsi="Aptos"/>
                <w:b w:val="false"/>
                <w:bCs w:val="false"/>
                <w:i w:val="false"/>
                <w:iCs w:val="false"/>
                <w:sz w:val="24"/>
                <w:szCs w:val="24"/>
              </w:rPr>
              <w:t xml:space="preserve"/>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standard sets how Wabash Valley Communications manages cybersecurity risk: the risk it is willing to accept, the scales it uses to score risk, and the threats it accounts for. It implements the Cybersecurity &amp; Privacy Policy and governs the Risk Assessment Procedure that runs against it.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mission-critical public-safety systems and the data they handle, and every risk assessment the Agency performs.</w:t>
      </w:r>
    </w:p>
    <w:p>
      <w:pPr>
        <w:pStyle w:val="ListParagraph"/>
        <w:numPr>
          <w:ilvl w:val="0"/>
          <w:numId w:val="2"/>
        </w:numPr>
        <w:spacing w:after="60"/>
      </w:pPr>
      <w:r>
        <w:rPr>
          <w:rFonts w:ascii="Aptos" w:cs="Aptos" w:eastAsia="Aptos" w:hAnsi="Aptos"/>
          <w:b w:val="false"/>
          <w:bCs w:val="false"/>
          <w:i w:val="false"/>
          <w:iCs w:val="false"/>
          <w:sz w:val="24"/>
          <w:szCs w:val="24"/>
        </w:rPr>
        <w:t xml:space="preserve">Implements: Cybersecurity &amp; Privacy Policy.</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None.</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manage risk to its mission-critical systems within the risk appetite stated below, and shall not accept a risk above that appetite without a recorded deviation.</w:t>
      </w:r>
    </w:p>
    <w:p>
      <w:pPr>
        <w:pStyle w:val="ListParagraph"/>
        <w:numPr>
          <w:ilvl w:val="0"/>
          <w:numId w:val="3"/>
        </w:numPr>
        <w:spacing w:after="60"/>
      </w:pPr>
      <w:r>
        <w:rPr>
          <w:rFonts w:ascii="Aptos" w:cs="Aptos" w:eastAsia="Aptos" w:hAnsi="Aptos"/>
          <w:b w:val="false"/>
          <w:bCs w:val="false"/>
          <w:i w:val="false"/>
          <w:iCs w:val="false"/>
          <w:sz w:val="24"/>
          <w:szCs w:val="24"/>
        </w:rPr>
        <w:t xml:space="preserve">Risk appetite. The Agency accepts low-to-moderate residual risk to systems that support 9-1-1 call handling and dispatch, and accepts no avoidable risk that would interrupt call answering or dispatch. </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score each risk on likelihood and impact using the scales in Approved and Prohibited, rating impact against service availability, data, and life safety.</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account for, at minimum, the threat vectors listed in Approved and Prohibited: phishing and social engineering, malware and ransomware, supplier and third-party compromise, and denial-of-service against call delivery.</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assess risk at least annually and after any major system change or significant incident, following the Risk Assessment Procedure.</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record assessed risks in the Risk Register and track treatment decisions in the Risk / Finding Register (POA&amp;M).</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Likelihood scale: Rare, Unlikely, Possible, Likely, Almost Certain.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Scoring risk without the approved scales.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Impact scale: Negligible, Minor, Moderate, Major, Severe, rated against service, data, and life safety.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Treating a life-safety impact as anything below Major.</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Risk rating: likelihood combined with impact, mapped to Low, Moderate, High, Critical.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Accepting a High or Critical risk to call handling or dispatch without a recorded deviation.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Threat vectors in scope: phishing, malware and ransomware, supplier compromise, denial-of-service.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Leaving an assessed risk out of the Risk Register.</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b w:val="false"/>
          <w:bCs w:val="false"/>
          <w:i w:val="false"/>
          <w:iCs w:val="false"/>
          <w:sz w:val="24"/>
          <w:szCs w:val="24"/>
        </w:rPr>
        <w:t xml:space="preserve">A deviation from this standard, including accepting a risk above the stated appetite, requires written approval from the Director. The request states the risk, the reason, any compensating controls, and an end date. Approved deviations are recorded in the Risk Register and reviewed at least annually.</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b w:val="false"/>
          <w:bCs w:val="false"/>
          <w:i w:val="false"/>
          <w:iCs w:val="false"/>
          <w:sz w:val="24"/>
          <w:szCs w:val="24"/>
        </w:rPr>
        <w:t xml:space="preserve">This standard is reviewed at least annually and after any significant change to the Agency's systems, threats, or risk tolerance, by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coordinator runs the assessment against these scales twice a year or on major change, and maintains the Risk Register. Tune the appetite with county leadership.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§4.2.1, §4.3.1, §4.3.2</w:t>
            </w:r>
          </w:p>
          <w:p>
            <w:pPr>
              <w:spacing w:after="40" w:before="0"/>
            </w:pPr>
            <w:r>
              <w:rPr>
                <w:rFonts w:ascii="Aptos" w:cs="Aptos" w:eastAsia="Aptos" w:hAnsi="Aptos"/>
                <w:b w:val="false"/>
                <w:bCs w:val="false"/>
                <w:i w:val="false"/>
                <w:iCs w:val="false"/>
                <w:sz w:val="24"/>
                <w:szCs w:val="24"/>
              </w:rPr>
              <w:t xml:space="preserve">NIST SP 800-53 Rev. 5: PM-9, PM-28, RA-1, RA-3, RA-7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Risk Management Methodology Standard - EXAMPLE - M</dc:title>
</cp:coreProperties>
</file>

<file path=docProps/custom.xml><?xml version="1.0" encoding="utf-8"?>
<Properties xmlns="http://schemas.openxmlformats.org/officeDocument/2006/custom-properties" xmlns:vt="http://schemas.openxmlformats.org/officeDocument/2006/docPropsVTypes"/>
</file>