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Unauthorized Disclosure Response &amp; Notification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Wabash Valley Communications</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Anthony Reyes,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2026-03-05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2027-03-05</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Security Coordinator   </w:t>
            </w:r>
            <w:r>
              <w:rPr>
                <w:rFonts w:ascii="Aptos" w:cs="Aptos" w:eastAsia="Aptos" w:hAnsi="Aptos"/>
                <w:b w:val="false"/>
                <w:bCs w:val="false"/>
                <w:i/>
                <w:iCs/>
                <w:color w:val="595959"/>
                <w:sz w:val="24"/>
                <w:szCs w:val="24"/>
              </w:rPr>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procedure defines how the Agency responds to an unauthorized disclosure or spill of protected data: how it is detected, contained, investigated, and remediated, and how required notifications are made to regulators and affected individuals. It triggers from the Incident Response Plan for data-specific incidents.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the Security Coordinator, the Director, and shared county IT.</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detection, containment, investigation, and remediation of an unauthorized disclosure of protected or CJIS-regulated data, and the notifications required by Indiana law and, where CJIS data is involved, CJIS reporting.</w:t>
      </w:r>
    </w:p>
    <w:p>
      <w:pPr>
        <w:pStyle w:val="ListParagraph"/>
        <w:numPr>
          <w:ilvl w:val="0"/>
          <w:numId w:val="2"/>
        </w:numPr>
        <w:spacing w:after="60"/>
      </w:pPr>
      <w:r>
        <w:rPr>
          <w:rFonts w:ascii="Aptos" w:cs="Aptos" w:eastAsia="Aptos" w:hAnsi="Aptos"/>
          <w:b w:val="false"/>
          <w:bCs w:val="false"/>
          <w:i w:val="false"/>
          <w:iCs w:val="false"/>
          <w:sz w:val="24"/>
          <w:szCs w:val="24"/>
        </w:rPr>
        <w:t>Excludes: incidents with no data disclosure, which follow the Incident Response Plan, and public communications, which the Director owns.</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b w:val="false"/>
          <w:bCs w:val="false"/>
          <w:i w:val="false"/>
          <w:iCs w:val="false"/>
          <w:sz w:val="24"/>
          <w:szCs w:val="24"/>
        </w:rPr>
        <w:t xml:space="preserve">The Data Classification Policy defines what data is protected and what counts as a reportable disclosure.</w:t>
      </w:r>
    </w:p>
    <w:p>
      <w:pPr>
        <w:pStyle w:val="ListParagraph"/>
        <w:numPr>
          <w:ilvl w:val="0"/>
          <w:numId w:val="3"/>
        </w:numPr>
        <w:spacing w:after="60"/>
      </w:pPr>
      <w:r>
        <w:rPr>
          <w:rFonts w:ascii="Aptos" w:cs="Aptos" w:eastAsia="Aptos" w:hAnsi="Aptos"/>
          <w:b w:val="false"/>
          <w:bCs w:val="false"/>
          <w:i w:val="false"/>
          <w:iCs w:val="false"/>
          <w:sz w:val="24"/>
          <w:szCs w:val="24"/>
        </w:rPr>
        <w:t xml:space="preserve">Current notification contacts: the Indiana Office of Technology, the Indiana Attorney General, and, where CJIS data is involved, the CJIS Systems Officer through IDACS.</w:t>
      </w:r>
    </w:p>
    <w:p>
      <w:pPr>
        <w:pStyle w:val="ListParagraph"/>
        <w:numPr>
          <w:ilvl w:val="0"/>
          <w:numId w:val="3"/>
        </w:numPr>
        <w:spacing w:after="60"/>
      </w:pPr>
      <w:r>
        <w:rPr>
          <w:rFonts w:ascii="Aptos" w:cs="Aptos" w:eastAsia="Aptos" w:hAnsi="Aptos"/>
          <w:b w:val="false"/>
          <w:bCs w:val="false"/>
          <w:i w:val="false"/>
          <w:iCs w:val="false"/>
          <w:sz w:val="24"/>
          <w:szCs w:val="24"/>
        </w:rPr>
        <w:t xml:space="preserve">A way to determine the number of Indiana residents affected, which sets the Attorney General notification threshold.</w:t>
      </w:r>
    </w:p>
    <w:p>
      <w:pPr>
        <w:pStyle w:val="Heading2"/>
        <w:spacing w:after="100" w:before="220"/>
      </w:pPr>
      <w:r>
        <w:rPr>
          <w:rFonts w:ascii="Aptos" w:cs="Aptos" w:eastAsia="Aptos" w:hAnsi="Aptos"/>
          <w:b/>
          <w:bCs/>
          <w:color w:val="1B3A5C"/>
          <w:sz w:val="26"/>
          <w:szCs w:val="26"/>
        </w:rPr>
        <w:t xml:space="preserve">4. Procedure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Detect and confirm: confirm that protected data was disclosed to or accessed by someone without authorization, and classify the data involved using the Data Classification 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Contain: stop the ongoing disclosure (revoke access, recall or delete the data, close the exposure) and preserve evidence per the Evidence Collection &amp; Chain-of-Custody Procedures.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Shared county IT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Investigate: determine what data, whose data, how much, and how it happened, and record it in the Incident Log / Register.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Assess notification duties: determine which notifications apply and their deadlines using the Notification Requirements below.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Notify: make each required notification within its deadline and keep proof of each.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Remediate and close: fix the cause, record corrective actions, and feed them to the Risk Register and the After-Action Reports.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b w:val="false"/>
          <w:bCs w:val="false"/>
          <w:i w:val="false"/>
          <w:iCs w:val="false"/>
          <w:sz w:val="24"/>
          <w:szCs w:val="24"/>
        </w:rPr>
        <w:t xml:space="preserve">The disclosure was contained, the affected data and residents were identified, every required notification was made within its statutory deadline with proof retained, and corrective actions were recorded and tracked to closure.</w:t>
      </w:r>
    </w:p>
    <w:p>
      <w:pPr>
        <w:pStyle w:val="Heading2"/>
        <w:spacing w:after="100" w:before="220"/>
      </w:pPr>
      <w:r>
        <w:rPr>
          <w:rFonts w:ascii="Aptos" w:cs="Aptos" w:eastAsia="Aptos" w:hAnsi="Aptos"/>
          <w:b/>
          <w:bCs/>
          <w:color w:val="1B3A5C"/>
          <w:sz w:val="26"/>
          <w:szCs w:val="26"/>
        </w:rPr>
        <w:t xml:space="preserve">6. Notification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Audience</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Who notifies</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Channel</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Timeframe / trigger</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Indiana Office of Technology (IOT)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IOT incident report portal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Within 2 business days of a cybersecurity incident (HEA 1169)</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Indiana Attorney General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Written notice to the Attorney General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When more than 500 Indiana residents are affected, without unreasonable delay (IC 24-4.9)</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Affected Indiana residents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Written notice to each resident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Without unreasonable delay after discovery (IC 24-4.9)</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CJIS Systems Officer (via IDACS)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CSO via IDACS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When CJIS-regulated data is disclosed, per CJIS Security Policy</w:t>
            </w:r>
          </w:p>
        </w:tc>
      </w:tr>
    </w:tbl>
    <w:p>
      <w:pPr>
        <w:spacing w:after="60"/>
      </w:pPr>
    </w:p>
    <w:p>
      <w:pPr>
        <w:pStyle w:val="Heading2"/>
        <w:spacing w:after="100" w:before="220"/>
      </w:pPr>
      <w:r>
        <w:rPr>
          <w:rFonts w:ascii="Aptos" w:cs="Aptos" w:eastAsia="Aptos" w:hAnsi="Aptos"/>
          <w:b/>
          <w:bCs/>
          <w:color w:val="1B3A5C"/>
          <w:sz w:val="26"/>
          <w:szCs w:val="26"/>
        </w:rPr>
        <w:t xml:space="preserve">7. Related Documents</w:t>
      </w:r>
    </w:p>
    <w:p>
      <w:pPr>
        <w:spacing w:after="120" w:before="0"/>
      </w:pPr>
      <w:r>
        <w:rPr>
          <w:rFonts w:ascii="Aptos" w:cs="Aptos" w:eastAsia="Aptos" w:hAnsi="Aptos"/>
          <w:b w:val="false"/>
          <w:bCs w:val="false"/>
          <w:i w:val="false"/>
          <w:iCs w:val="false"/>
          <w:sz w:val="24"/>
          <w:szCs w:val="24"/>
        </w:rPr>
        <w:t xml:space="preserve">Incident Response Plan; Data Classification Policy; Evidence Collection &amp; Chain-of-Custody Procedures; Incident Log / Register; Risk Register; After-Action Reports.</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coordinator investigates and contains while the director handles notifications; the resident count drives whether the Attorney General must be told.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Cs w:val="false"/>
                <w:iCs w:val="false"/>
                <w:sz w:val="24"/>
                <w:szCs w:val="24"/>
              </w:rPr>
              <w:t xml:space="preserve">NENA-STA-040.2-2024: §5.6.5 (Incident Response)</w:t>
            </w:r>
          </w:p>
          <w:p>
            <w:pPr>
              <w:spacing w:after="40" w:before="0"/>
            </w:pPr>
            <w:r>
              <w:rPr>
                <w:rFonts w:ascii="Aptos" w:cs="Aptos" w:eastAsia="Aptos" w:hAnsi="Aptos"/>
                <w:bCs w:val="false"/>
                <w:iCs w:val="false"/>
                <w:sz w:val="24"/>
                <w:szCs w:val="24"/>
              </w:rPr>
              <w:t xml:space="preserve">NIST SP 800-53 Rev. 5: IR-4, IR-6</w:t>
            </w:r>
          </w:p>
          <w:p>
            <w:pPr>
              <w:spacing w:after="40" w:before="0"/>
            </w:pPr>
            <w:r>
              <w:rPr>
                <w:rFonts w:ascii="Aptos" w:cs="Aptos" w:eastAsia="Aptos" w:hAnsi="Aptos"/>
                <w:bCs w:val="false"/>
                <w:iCs w:val="false"/>
                <w:sz w:val="24"/>
                <w:szCs w:val="24"/>
              </w:rPr>
              <w:t xml:space="preserve">Indiana statutes and administrative code: HEA 1169 (2021), cyber incident reporting to IOT; IC 24-4.9, data breach notification to the Indiana Attorney General and affected residents</w:t>
            </w:r>
          </w:p>
          <w:p>
            <w:pPr>
              <w:spacing w:after="40" w:before="0"/>
            </w:pPr>
            <w:r>
              <w:rPr>
                <w:rFonts w:ascii="Aptos" w:cs="Aptos" w:eastAsia="Aptos" w:hAnsi="Aptos"/>
                <w:bCs w:val="false"/>
                <w:iCs w:val="false"/>
                <w:sz w:val="24"/>
                <w:szCs w:val="24"/>
              </w:rPr>
              <w:t xml:space="preserve">CJIS Security Policy v5.9: §5.3 (Incident Response) (if CJIS-regulated data is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2026-03-05</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2026-03-05</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2026-03-05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wabash-valley-communication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Unauthorized Disclosure Response &amp; Notification Procedures - EXAMPLE - M</dc:title>
</cp:coreProperties>
</file>

<file path=docProps/custom.xml><?xml version="1.0" encoding="utf-8"?>
<Properties xmlns="http://schemas.openxmlformats.org/officeDocument/2006/custom-properties" xmlns:vt="http://schemas.openxmlformats.org/officeDocument/2006/docPropsVTypes"/>
</file>