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Email Security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 xml:space="preserve">Tri-River Regional 911 Center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 xml:space="preserve">Dr. Lisa Park,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2026-01-20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2027-01-20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   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Internal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This policy sets how the Agency secures email and keeps it away from real-time call-handling. It defines safe handling of external mail, who may administer mailboxes, and the inspection email must pass, so a compromised inbox does not reach dispatch operations.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Applies to: all Agency email accounts and the personnel, contractors, and vendors who use or administer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Covers: isolation of email from real-time operations, handling of external mail and links and attachments, restrictions on mailbox delegation and inbox rules, expected inspection and sandboxing, and reporting of suspicious email.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Excludes: general acceptable-use conduct, governed by the Acceptable Use Policy; email-account provisioning, governed by the Access Control Policy; and the authentication settings, held in the Email Authentication Configuration Records.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Semi-trusted system: a system that connects to the outside and is therefore isolated and inspected, not treated as part of the trusted operational core.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Mailbox delegation: granting one user access to another user's mailbox.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Email shall run separate from real-time call-handling systems, so a compromise of email does not reach 9-1-1 operations.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Inbound email shall be inspected, with attachments and links filtered or sandboxed before delivery where the platform supports it.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External email shall be identifiable to the reader, and personnel handle links and attachments in external mail with caution.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Only approved, trained staff shall perform email administration, including mailbox delegation and the creation or change of inbox rules and automatic forwards.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Personnel shall report suspicious email through the Agency's reporting method, and reported messages are reviewed and handled under the Incident Response Plan.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Email authentication (SPF, DKIM, DMARC, TLS) shall be configured and maintained per the Email Authentication Configuration Records.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Owns this policy, approves who may administer email, and approves exceptions.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IT team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Configures inspection, isolation, and authentication, and maintains them.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Reviews reported email and suspected compromise and escalates.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All personnel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Handle external mail with care, do not change inbox rules without authorization, and report suspicious email.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Enforcement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The Director monitors compliance. Unauthorized mailbox delegation or inbox rules are removed, and repeated violations are handled under the Agency's corrective-action process.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7. Exceptions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Exceptions require written approval from the Director, must state the reason and any compensating control, and expire after one year unless renewed.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8. Review Schedule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This policy is reviewed at least annually and after any significant change to the Agency's email platform, by the Information Security Analyst.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Email runs on a hardened, isolated platform with sandboxing, tightly controlled administration, and reported-message handling built into the security team workflow.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B3A5C"/>
                <w:sz w:val="24"/>
              </w:rPr>
              <w:t>Source Authority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sz w:val="24"/>
              </w:rPr>
              <w:t xml:space="preserve">NENA-STA-040.2-2024: §5.6.4 (Intrusion Monitoring and Detection)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sz w:val="24"/>
              </w:rPr>
              <w:t xml:space="preserve">NIST SP 800-53 Rev. 5: AC-6, SC-7, SI-3, SI-8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Dr. Lisa Park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/s/ Dr. Lisa Park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2026-01-20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2026-01-20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2026-01-20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300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Email Security Policy - EXAMPLE - 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