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color w:val="1B3A5C"/>
          <w:sz w:val="40"/>
          <w:szCs w:val="40"/>
        </w:rPr>
        <w:t xml:space="preserve">Evidence Collection &amp; Chain-of-Custody Procedures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Authority: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Adopted by </w:t>
            </w:r>
            <w:r>
              <w:rPr>
                <w:rFonts w:ascii="Aptos" w:cs="Aptos" w:eastAsia="Aptos" w:hAnsi="Aptos"/>
                <w:i w:val="false"/>
                <w:iCs w:val="false"/>
                <w:sz w:val="24"/>
                <w:szCs w:val="24"/>
              </w:rPr>
              <w:t>Hickory County 911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under the authority of </w:t>
            </w:r>
            <w:r>
              <w:rPr>
                <w:rFonts w:ascii="Aptos" w:cs="Aptos" w:eastAsia="Aptos" w:hAnsi="Aptos"/>
                <w:i w:val="false"/>
                <w:iCs w:val="false"/>
                <w:sz w:val="24"/>
                <w:szCs w:val="24"/>
              </w:rPr>
              <w:t>Tracy Holloway, Director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Version: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1.0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Effective Date: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2026-02-10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Next Review: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2027-02-10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Owner: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Director  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</w:r>
          </w:p>
          <w:p>
            <w:pPr>
              <w:spacing w:after="2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Classification: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Restricted / CJIS</w:t>
            </w:r>
          </w:p>
        </w:tc>
      </w:tr>
    </w:tbl>
    <w:p>
      <w:pPr>
        <w:spacing w:after="60"/>
      </w:pP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1. Purpose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This procedure defines how the Agency collects and preserves digital evidence during a security incident so it stays forensically sound. It covers collection order, imaging, and an unbroken chain of custody from seizure through handoff, applied before any affected system is remediated.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2. Scope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Applies to: the Director, contracted forensic support, and County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Covers: isolating affected systems for capture, collecting volatile then persistent data, imaging disk and memory, capturing session-border-controller recordings, and documenting chain of custody for every item.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Excludes: decisions on prosecution and disclosure, which the Director and counsel own, and the isolation mechanics themselves, which follow the System Isolation Procedure.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3. Prerequisites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Authority to collect, and the secure storage and isolated analysis environment defined in the Forensic Readiness Plan.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Forensic tools available and their operators authorized, per the Forensic Tool Inventory.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A hashing method and write-blocking capability so original media are not altered during capture.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4. Procedure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860"/>
        <w:gridCol w:w="2400"/>
      </w:tblGrid>
      <w:tr>
        <w:trPr>
          <w:cantSplit/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Step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Action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Responsible role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Authorize and open custody: confirm authority to collect under the Forensic Readiness Plan and open the Chain-of-Custody Log carried by the Evidence Preservation Checklist for this incident.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Director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Isolate for capture: contain the affected system per the System Isolation Procedure so evidence is preserved before collection begins.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County IT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Capture volatile data first: collect memory, active network connections, and running processes before they are lost.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County IT or contracted forensic support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Collect persistent data: acquire logs, disk images, and session-border-controller recordings using write-blocking, and record a hash for each item.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County IT or contracted forensic support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Label and secure: label each item, store it in the secure evidence location, and enter it in the Chain-of-Custody Log carried by the Evidence Preservation Checklist.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County IT or contracted forensic support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6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Maintain custody: record every transfer of each item (from, to, date, time, signature) so the chain is unbroken through analysis and storage.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Director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7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Hand off: release evidence only to authorized recipients and record the handoff before any system is returned to service or remediated.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Director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5. Verification Criteria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Every collected item has a recorded hash and an unbroken chain of custody, volatile data was captured before persistent data, original media were write-protected during capture, and the Chain-of-Custody Log is complete before remediation.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6. Related Documents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Forensic Readiness Plan; System Isolation Procedure; Evidence Preservation Checklist; Forensic Tool Inventory; Incident Response Plan; Incident Log / Register.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Profile Scaling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cantSplit/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PSAP Profile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Minimum-viable implementation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Small (1–5 dispatchers, no in-house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No in-house forensic capability. Preserve what you can without altering it: photograph screens, keep the device powered where guidance says to, and save logs; record who held each item; and call county or vendor IT or law enforcement for imaging. Do not wipe or rebuild before evidence is secured.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CJIS Handling Addendum</w:t>
      </w:r>
    </w:p>
    <w:p>
      <w:pPr>
        <w:spacing w:after="60"/>
      </w:pPr>
      <w:r>
        <w:rPr/>
        <w:t xml:space="preserve">CJIS Handling: Evidence collected under this procedure may contain criminal justice information reached in Indiana through IDACS. Apply the FBI CJIS Security Policy v5.9 and 240 IAC 5 to its handling, storage, and transfer in addition to the steps above.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Source Authority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Cs w:val="false"/>
                <w:iCs w:val="false"/>
                <w:sz w:val="24"/>
                <w:szCs w:val="24"/>
              </w:rPr>
              <w:t xml:space="preserve">NENA-STA-040.2-2024: §5.6.4 (Intrusion Monitoring), §5.6.5 (Incident Response)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Cs w:val="false"/>
                <w:iCs w:val="false"/>
                <w:sz w:val="24"/>
                <w:szCs w:val="24"/>
              </w:rPr>
              <w:t xml:space="preserve">NIST SP 800-53 Rev. 5: AU-9, AU-11, IR-4, IR-5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Cs w:val="false"/>
                <w:iCs w:val="false"/>
                <w:sz w:val="24"/>
                <w:szCs w:val="24"/>
              </w:rPr>
              <w:t xml:space="preserve">Indiana statutes and administrative code: 240 IAC 5, IDACS security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Cs w:val="false"/>
                <w:iCs w:val="false"/>
                <w:sz w:val="24"/>
                <w:szCs w:val="24"/>
              </w:rPr>
              <w:t xml:space="preserve">CJIS Security Policy v5.9: §5.3 (Incident Response), §5.4 (Auditing &amp; Accountability) (CJIS-regulated data in scope, via IDACS)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Approval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600"/>
        <w:gridCol w:w="140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Director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Tracy Holloway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/s/ Tracy Holloway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2026-02-10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Director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(on file)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(on file)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2026-02-10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200"/>
        <w:gridCol w:w="4260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2026-02-10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Director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Initial issue</w:t>
            </w:r>
          </w:p>
        </w:tc>
      </w:tr>
    </w:tbl>
    <w:p>
      <w:pPr>
        <w:spacing w:after="6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drawing>
        <wp:inline xmlns:a="http://schemas.openxmlformats.org/drawingml/2006/main" xmlns:pic="http://schemas.openxmlformats.org/drawingml/2006/picture">
          <wp:extent cx="777240" cy="7772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seal-hickory-county-91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" cy="777240"/>
                  </a:xfrm>
                  <a:prstGeom prst="rect"/>
                </pic:spPr>
              </pic:pic>
            </a:graphicData>
          </a:graphic>
        </wp:inline>
      </w:drawing>
    </w:r>
  </w:p>
  <w:p>
    <w:pPr>
      <w:pBdr>
        <w:bottom w:val="single" w:color="1B3A5C" w:sz="6" w:space="2"/>
      </w:pBdr>
      <w:jc w:val="right"/>
    </w:pPr>
    <w:r>
      <w:rPr>
        <w:rFonts w:ascii="Aptos" w:cs="Aptos" w:eastAsia="Aptos" w:hAnsi="Aptos"/>
        <w:color w:val="595959"/>
        <w:sz w:val="16"/>
        <w:szCs w:val="16"/>
      </w:rPr>
    </w:r>
  </w:p>
  <w:p>
    <w:r>
      <w:drawing>
        <wp:anchor xmlns:a="http://schemas.openxmlformats.org/drawingml/2006/main" behindDoc="1" distT="0" distB="0" distL="0" distR="0" simplePos="0" locked="0" layoutInCell="1" allowOverlap="1" relativeHeight="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5943600" cy="5943600"/>
          <wp:effectExtent l="0" t="0" r="0" b="0"/>
          <wp:wrapNone/>
          <wp:docPr id="990" name="SampleWatermark"/>
          <wp:cNvGraphicFramePr/>
          <a:graphic xmlns:pic="http://schemas.openxmlformats.org/drawingml/2006/picture">
            <a:graphicData uri="http://schemas.openxmlformats.org/drawingml/2006/picture">
              <pic:pic>
                <pic:nvPicPr>
                  <pic:cNvPr id="0" name="_sample_wm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943600" cy="59436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11"/>
    <w:lvlOverride w:ilvl="0">
      <w:startOverride w:val="1"/>
    </w:lvlOverride>
  </w:num>
  <w:num w:numId="3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pPr>
      <w:keepNext/>
      <w:keepLines/>
      <w:spacing w:after="100" w:before="220"/>
      <w:outlineLvl w:val="2"/>
    </w:pPr>
    <w:rPr>
      <w:rFonts w:ascii="Aptos" w:cs="Aptos" w:eastAsia="Aptos" w:hAnsi="Aptos"/>
      <w:b/>
      <w:bCs/>
      <w:color w:val="1B3A5C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keepLines/>
      <w:spacing w:after="100" w:before="220"/>
      <w:outlineLvl w:val="3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after="100" w:before="220"/>
      <w:outlineLvl w:val="4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keepLines/>
      <w:spacing w:after="100" w:before="220"/>
      <w:outlineLvl w:val="5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911 Authority in partnership with IN911</dc:creator>
  <cp:lastModifiedBy/>
  <cp:revision>1</cp:revision>
  <dcterms:created xsi:type="dcterms:W3CDTF">2026-06-01T15:29:11.455Z</dcterms:created>
  <dcterms:modified xsi:type="dcterms:W3CDTF">2026-06-01T15:29:11.455Z</dcterms:modified>
  <dc:title xmlns:dc="http://purl.org/dc/elements/1.1/">Evidence Collection &amp; Chain-of-Custody Procedures - EXAMPLE - 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