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Vendor Security Assessment Questionnaire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Authority: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Adopted by Wabash Valley Communications under the authority of Anthony Reyes, Director.</w:t>
            </w:r>
          </w:p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Version: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1.0</w:t>
            </w:r>
            <w:r>
              <w:rPr>
                <w:rFonts w:ascii="Aptos" w:hAnsi="Aptos" w:cs="Aptos"/>
                <w:b/>
                <w:i w:val="0"/>
                <w:sz w:val="24"/>
              </w:rPr>
              <w:t xml:space="preserve">    Effective Date: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2026-05-18</w:t>
            </w:r>
            <w:r>
              <w:rPr>
                <w:rFonts w:ascii="Aptos" w:hAnsi="Aptos" w:cs="Aptos"/>
                <w:b/>
                <w:i w:val="0"/>
                <w:sz w:val="24"/>
              </w:rPr>
              <w:t xml:space="preserve">    Next Review: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2027-05-18</w:t>
            </w:r>
          </w:p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Owner: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Security Coordinator</w:t>
            </w:r>
          </w:p>
          <w:p>
            <w:pPr>
              <w:spacing w:after="2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Classification: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Internal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>Vendor identification</w:t>
            </w:r>
          </w:p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Vendor: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the Agency's CAD vendor (Vendor X)</w:t>
            </w:r>
            <w:r>
              <w:rPr>
                <w:rFonts w:ascii="Aptos" w:hAnsi="Aptos" w:cs="Aptos"/>
                <w:b/>
                <w:i w:val="0"/>
                <w:sz w:val="24"/>
              </w:rPr>
              <w:t xml:space="preserve">      Product / service: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dual-hosted CAD platform</w:t>
            </w:r>
          </w:p>
          <w:p>
            <w:pPr>
              <w:spacing w:after="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Completed by (vendor):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vendor account manager</w:t>
            </w:r>
            <w:r>
              <w:rPr>
                <w:rFonts w:ascii="Aptos" w:hAnsi="Aptos" w:cs="Aptos"/>
                <w:b/>
                <w:i w:val="0"/>
                <w:sz w:val="24"/>
              </w:rPr>
              <w:t xml:space="preserve">      Reviewed by (agency):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Security Coordinator</w:t>
            </w:r>
            <w:r>
              <w:rPr>
                <w:rFonts w:ascii="Aptos" w:hAnsi="Aptos" w:cs="Aptos"/>
                <w:b/>
                <w:i w:val="0"/>
                <w:sz w:val="24"/>
              </w:rPr>
              <w:t xml:space="preserve">      Date: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2026-05-18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1. Vendor Security Questions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60"/>
        <w:gridCol w:w="1500"/>
        <w:gridCol w:w="2500"/>
      </w:tblGrid>
      <w:tr>
        <w:trPr>
          <w:cantSplit/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Security control the vendor must confirm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Yes / No / N-A / Partial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Evidence (required)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shd w:val="clear" w:color="auto" w:fill="EEF2F7"/>
          </w:tcPr>
          <w:p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>1A. Data protection, access &amp; encryption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1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Encrypts Agency data at rest to a current standard (e.g., AES-256).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Yes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AES-256, per SOC 2 Type II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2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Encrypts Agency data in transit (TLS or equivalent).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Yes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TLS 1.3, per SOC 2</w:t>
            </w:r>
          </w:p>
        </w:tc>
      </w:tr>
      <w:tr>
        <w:trPr>
          <w:cantSplit/>
        </w:trP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3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Segregates or logically separates Agency data from other customers.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Yes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Dedicated instance per customer</w:t>
            </w:r>
          </w:p>
        </w:tc>
      </w:tr>
      <w:tr>
        <w:trPr>
          <w:cantSplit/>
        </w:trP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4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Enforces least-privilege access to Agency data and systems.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Yes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RBAC, reviewed quarterly</w:t>
            </w:r>
          </w:p>
        </w:tc>
      </w:tr>
      <w:tr>
        <w:trPr>
          <w:cantSplit/>
        </w:trP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5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Requires multi-factor authentication for administrative and remote access.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Yes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MFA enforced for all users</w:t>
            </w:r>
          </w:p>
        </w:tc>
      </w:tr>
      <w:tr>
        <w:trPr>
          <w:cantSplit/>
        </w:trP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6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Deprovisions vendor and staff access promptly when roles change.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Yes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SCIM-based deprovisioning</w:t>
            </w:r>
          </w:p>
        </w:tc>
      </w:tr>
      <w:tr>
        <w:trPr>
          <w:cantSplit/>
        </w:trPr>
        <w:tc>
          <w:tcPr>
            <w:tcW w:type="dxa" w:w="9360"/>
            <w:gridSpan w:val="4"/>
            <w:shd w:val="clear" w:color="auto" w:fill="EEF2F7"/>
          </w:tcPr>
          <w:p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>1B. Incident response, breach notification &amp; subcontractors</w:t>
            </w:r>
          </w:p>
        </w:tc>
      </w:tr>
      <w:tr>
        <w:trPr>
          <w:cantSplit/>
        </w:trP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7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Notifies the Agency of a security incident affecting Agency data within 48 hours.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Yes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48-hour breach notice in contract</w:t>
            </w:r>
          </w:p>
        </w:tc>
      </w:tr>
      <w:tr>
        <w:trPr>
          <w:cantSplit/>
        </w:trP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8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Maintains a documented incident response capability and tests it.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Yes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IR plan; annual tabletop shared</w:t>
            </w:r>
          </w:p>
        </w:tc>
      </w:tr>
      <w:tr>
        <w:trPr>
          <w:cantSplit/>
        </w:trP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9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Discloses subcontractors with access to Agency data and flows these obligations to them.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Yes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Cloud host disclosed; flow-down in contract</w:t>
            </w:r>
          </w:p>
        </w:tc>
      </w:tr>
      <w:tr>
        <w:trPr>
          <w:cantSplit/>
        </w:trPr>
        <w:tc>
          <w:tcPr>
            <w:tcW w:type="dxa" w:w="9360"/>
            <w:gridSpan w:val="4"/>
            <w:shd w:val="clear" w:color="auto" w:fill="EEF2F7"/>
          </w:tcPr>
          <w:p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>1C. Compliance, assurance &amp; security posture</w:t>
            </w:r>
          </w:p>
        </w:tc>
      </w:tr>
      <w:tr>
        <w:trPr>
          <w:cantSplit/>
        </w:trP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10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Provides a current independent assurance report (e.g., SOC 2 Type II) on request.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Yes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SOC 2 Type II 2026 on file</w:t>
            </w:r>
          </w:p>
        </w:tc>
      </w:tr>
      <w:tr>
        <w:trPr>
          <w:cantSplit/>
        </w:trP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11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Meets CJIS Security Policy handling where the vendor touches CJIS-regulated data (via IDACS).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Partial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CAD holds no CJI; IDACS-adjacent integration covered by a signed CJIS Security Addendum</w:t>
            </w:r>
          </w:p>
        </w:tc>
      </w:tr>
      <w:tr>
        <w:trPr>
          <w:cantSplit/>
        </w:trP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12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Runs regular vulnerability scanning and patching on systems holding Agency data.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Yes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Monthly patching; quarterly vendor pen test</w:t>
            </w:r>
          </w:p>
        </w:tc>
      </w:tr>
      <w:tr>
        <w:trPr>
          <w:cantSplit/>
        </w:trP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13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Discloses any material security breach affecting similar clients in the past 24 months.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No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No material breach disclosed in 24 months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2. Risk Disposition &amp; Routing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Score the completed questionnaire and record the result in the Third-Party Risk Assessment Records. A 'No' or 'Partial' on a material control is a gap: the Security Coordinator assigns a risk rating and decides whether to accept, mitigate, or reject, then carries any required controls into the vendor's contract through the Security Requirements in Vendor Contracts / SLAs. For this vendor, the CJIS-adjacent integration is covered by a signed CJIS Security Addendum; overall risk accepted.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Use this questionnaire for any vendor with access to Agency systems or data. One person, usually the director, sends it, reviews the answers, and files the result. A completed questionnaire plus a current SOC 2 report is often enough for a small vendor.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>Source Authority</w:t>
            </w:r>
          </w:p>
          <w:p>
            <w:pPr>
              <w:spacing w:after="40" w:before="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NENA-STA-040.2-2024: §5.2, §5.6, §10</w:t>
            </w:r>
          </w:p>
          <w:p>
            <w:pPr>
              <w:spacing w:after="40" w:before="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NIST SP 800-53 Rev. 5: CA-3, SA-9, SR-3, SR-6</w:t>
            </w:r>
          </w:p>
          <w:p>
            <w:pPr>
              <w:spacing w:after="40" w:before="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CJIS Security Policy v5.9: §5.1 (where the vendor accesses CJIS-regulated data,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Security Coordinator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Dana Mercer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/s/ Dana Mercer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2026-05-18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2026-05-18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2026-05-18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Security Coordinator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Initial issue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drawing>
        <wp:inline xmlns:a="http://schemas.openxmlformats.org/drawingml/2006/main" xmlns:pic="http://schemas.openxmlformats.org/drawingml/2006/picture">
          <wp:extent cx="777240" cy="7772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wabash-se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" cy="777240"/>
                  </a:xfrm>
                  <a:prstGeom prst="rect"/>
                </pic:spPr>
              </pic:pic>
            </a:graphicData>
          </a:graphic>
        </wp:inline>
      </w:drawing>
    </w:r>
  </w:p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20"/>
      <w:outlineLvl w:val="2"/>
    </w:pPr>
    <w:rPr>
      <w:rFonts w:ascii="Aptos" w:cs="Aptos" w:eastAsia="Aptos" w:hAnsi="Aptos"/>
      <w:b/>
      <w:bCs/>
      <w:color w:val="1B3A5C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220"/>
      <w:outlineLvl w:val="3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100" w:before="220"/>
      <w:outlineLvl w:val="4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100" w:before="220"/>
      <w:outlineLvl w:val="5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911 Authority in partnership with IN911</dc:creator>
  <cp:lastModifiedBy/>
  <cp:revision>1</cp:revision>
  <dcterms:created xsi:type="dcterms:W3CDTF">2026-06-01T15:29:11.487Z</dcterms:created>
  <dcterms:modified xsi:type="dcterms:W3CDTF">2026-06-01T15:29:11.487Z</dcterms:modified>
  <dc:title xmlns:dc="http://purl.org/dc/elements/1.1/">Vendor Security Assessment Questionnaire - EXAMPLE - 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