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</w:pPr>
      <w:r>
        <w:rPr>
          <w:rFonts w:ascii="Aptos" w:cs="Aptos" w:eastAsia="Aptos" w:hAnsi="Aptos"/>
          <w:b/>
          <w:bCs/>
          <w:color w:val="1B3A5C"/>
          <w:sz w:val="40"/>
          <w:szCs w:val="40"/>
        </w:rPr>
        <w:t xml:space="preserve">Issue Escalation Procedure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rPr>
          <w:cantSplit/>
        </w:trPr>
        <w:tc>
          <w:tcPr>
            <w:tcW w:type="dxa" w:w="9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EF2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rFonts w:ascii="Aptos" w:cs="Aptos" w:eastAsia="Aptos" w:hAnsi="Aptos"/>
                <w:b/>
                <w:bCs/>
                <w:i w:val="0"/>
                <w:iCs w:val="false"/>
                <w:sz w:val="24"/>
                <w:szCs w:val="24"/>
              </w:rPr>
              <w:t xml:space="preserve">Authority: </w:t>
            </w:r>
            <w:r>
              <w:rPr>
                <w:rFonts w:ascii="Aptos" w:cs="Aptos" w:eastAsia="Aptos" w:hAnsi="Aptos"/>
                <w:b w:val="0"/>
                <w:i w:val="0"/>
                <w:iCs w:val="false"/>
                <w:sz w:val="24"/>
                <w:szCs w:val="24"/>
              </w:rPr>
              <w:t xml:space="preserve">Adopted by Wabash Valley Communications under the authority of </w:t>
            </w:r>
            <w:r>
              <w:rPr>
                <w:rFonts w:ascii="Aptos" w:cs="Aptos" w:eastAsia="Aptos" w:hAnsi="Aptos"/>
                <w:b w:val="0"/>
                <w:i w:val="0"/>
                <w:iCs w:val="false"/>
                <w:sz w:val="24"/>
                <w:szCs w:val="24"/>
              </w:rPr>
              <w:t xml:space="preserve">Anthony Reyes, Director</w:t>
            </w:r>
            <w:r>
              <w:rPr>
                <w:rFonts w:ascii="Aptos" w:cs="Aptos" w:eastAsia="Aptos" w:hAnsi="Aptos"/>
                <w:b w:val="0"/>
                <w:i w:val="0"/>
                <w:iCs w:val="false"/>
                <w:sz w:val="24"/>
                <w:szCs w:val="24"/>
              </w:rPr>
              <w:t xml:space="preserve">.</w:t>
            </w:r>
          </w:p>
          <w:p>
            <w:pPr>
              <w:spacing w:after="60"/>
            </w:pPr>
            <w:r>
              <w:rPr>
                <w:rFonts w:ascii="Aptos" w:cs="Aptos" w:eastAsia="Aptos" w:hAnsi="Aptos"/>
                <w:b/>
                <w:bCs/>
                <w:i w:val="0"/>
                <w:iCs w:val="false"/>
                <w:sz w:val="24"/>
                <w:szCs w:val="24"/>
              </w:rPr>
              <w:t xml:space="preserve">Version: </w:t>
            </w:r>
            <w:r>
              <w:rPr>
                <w:rFonts w:ascii="Aptos" w:cs="Aptos" w:eastAsia="Aptos" w:hAnsi="Aptos"/>
                <w:b w:val="0"/>
                <w:bCs/>
                <w:i w:val="0"/>
                <w:iCs w:val="false"/>
                <w:sz w:val="24"/>
                <w:szCs w:val="24"/>
              </w:rPr>
              <w:t xml:space="preserve">1.0    </w:t>
            </w:r>
            <w:r>
              <w:rPr>
                <w:rFonts w:ascii="Aptos" w:cs="Aptos" w:eastAsia="Aptos" w:hAnsi="Aptos"/>
                <w:b/>
                <w:bCs/>
                <w:i w:val="0"/>
                <w:iCs w:val="false"/>
                <w:sz w:val="24"/>
                <w:szCs w:val="24"/>
              </w:rPr>
              <w:t xml:space="preserve">Effective Date: </w:t>
            </w:r>
            <w:r>
              <w:rPr>
                <w:rFonts w:ascii="Aptos" w:cs="Aptos" w:eastAsia="Aptos" w:hAnsi="Aptos"/>
                <w:b w:val="0"/>
                <w:bCs/>
                <w:i w:val="0"/>
                <w:iCs w:val="false"/>
                <w:sz w:val="24"/>
                <w:szCs w:val="24"/>
              </w:rPr>
              <w:t xml:space="preserve">2026-03-05    </w:t>
            </w:r>
            <w:r>
              <w:rPr>
                <w:rFonts w:ascii="Aptos" w:cs="Aptos" w:eastAsia="Aptos" w:hAnsi="Aptos"/>
                <w:b/>
                <w:bCs/>
                <w:i w:val="0"/>
                <w:iCs w:val="false"/>
                <w:sz w:val="24"/>
                <w:szCs w:val="24"/>
              </w:rPr>
              <w:t xml:space="preserve">Next Review: </w:t>
            </w:r>
            <w:r>
              <w:rPr>
                <w:rFonts w:ascii="Aptos" w:cs="Aptos" w:eastAsia="Aptos" w:hAnsi="Aptos"/>
                <w:b w:val="0"/>
                <w:bCs/>
                <w:i w:val="0"/>
                <w:iCs w:val="false"/>
                <w:sz w:val="24"/>
                <w:szCs w:val="24"/>
              </w:rPr>
              <w:t xml:space="preserve">2027-03-05</w:t>
            </w:r>
          </w:p>
          <w:p>
            <w:pPr>
              <w:spacing w:after="60"/>
            </w:pPr>
            <w:r>
              <w:rPr>
                <w:rFonts w:ascii="Aptos" w:cs="Aptos" w:eastAsia="Aptos" w:hAnsi="Aptos"/>
                <w:b/>
                <w:bCs/>
                <w:i w:val="0"/>
                <w:iCs w:val="false"/>
                <w:sz w:val="24"/>
                <w:szCs w:val="24"/>
              </w:rPr>
              <w:t xml:space="preserve">Owner: </w:t>
            </w:r>
            <w:r>
              <w:rPr>
                <w:rFonts w:ascii="Aptos" w:cs="Aptos" w:eastAsia="Aptos" w:hAnsi="Aptos"/>
                <w:b w:val="0"/>
                <w:bCs/>
                <w:i w:val="0"/>
                <w:iCs w:val="false"/>
                <w:sz w:val="24"/>
                <w:szCs w:val="24"/>
              </w:rPr>
              <w:t xml:space="preserve">Security Coordinator</w:t>
            </w:r>
          </w:p>
          <w:p>
            <w:pPr>
              <w:spacing w:after="20"/>
            </w:pPr>
            <w:r>
              <w:rPr>
                <w:rFonts w:ascii="Aptos" w:cs="Aptos" w:eastAsia="Aptos" w:hAnsi="Aptos"/>
                <w:b/>
                <w:bCs/>
                <w:i w:val="0"/>
                <w:iCs w:val="false"/>
                <w:sz w:val="24"/>
                <w:szCs w:val="24"/>
              </w:rPr>
              <w:t xml:space="preserve">Classification: </w:t>
            </w:r>
            <w:r>
              <w:rPr>
                <w:rFonts w:ascii="Aptos" w:cs="Aptos" w:eastAsia="Aptos" w:hAnsi="Aptos"/>
                <w:b w:val="0"/>
                <w:bCs/>
                <w:i w:val="0"/>
                <w:iCs w:val="false"/>
                <w:sz w:val="24"/>
                <w:szCs w:val="24"/>
              </w:rPr>
              <w:t xml:space="preserve">Internal</w:t>
            </w:r>
          </w:p>
        </w:tc>
      </w:tr>
    </w:tbl>
    <w:p>
      <w:pPr>
        <w:spacing w:after="60"/>
      </w:pPr>
    </w:p>
    <w:p>
      <w:pPr>
        <w:pStyle w:val="Heading2"/>
        <w:spacing w:after="100" w:before="220"/>
      </w:pPr>
      <w:r>
        <w:rPr>
          <w:rFonts w:ascii="Aptos" w:cs="Aptos" w:eastAsia="Aptos" w:hAnsi="Aptos"/>
          <w:b/>
          <w:bCs/>
          <w:color w:val="1B3A5C"/>
          <w:sz w:val="26"/>
          <w:szCs w:val="26"/>
        </w:rPr>
        <w:t xml:space="preserve">1. Purpose</w:t>
      </w:r>
    </w:p>
    <w:p>
      <w:pPr>
        <w:spacing w:after="120" w:before="0"/>
      </w:pPr>
      <w:r>
        <w:rPr>
          <w:rFonts w:ascii="Aptos" w:cs="Aptos" w:eastAsia="Aptos" w:hAnsi="Aptos"/>
          <w:b w:val="false"/>
          <w:bCs w:val="false"/>
          <w:i w:val="0"/>
          <w:iCs w:val="false"/>
          <w:sz w:val="24"/>
          <w:szCs w:val="24"/>
        </w:rPr>
        <w:t xml:space="preserve">This procedure defines when and how the Agency escalates unresolved or overdue security findings, and unresolved operational issues, to leadership, so a problem that is not being fixed reaches someone who can act. It sets the thresholds, the escalation paths, and the timing. It operates on the Risk / Finding Register and is distinct from real-time alert escalation.</w:t>
      </w:r>
    </w:p>
    <w:p>
      <w:pPr>
        <w:pStyle w:val="Heading2"/>
        <w:spacing w:after="100" w:before="220"/>
      </w:pPr>
      <w:r>
        <w:rPr>
          <w:rFonts w:ascii="Aptos" w:cs="Aptos" w:eastAsia="Aptos" w:hAnsi="Aptos"/>
          <w:b/>
          <w:bCs/>
          <w:color w:val="1B3A5C"/>
          <w:sz w:val="26"/>
          <w:szCs w:val="26"/>
        </w:rPr>
        <w:t xml:space="preserve">2. Scope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ptos" w:cs="Aptos" w:eastAsia="Aptos" w:hAnsi="Aptos"/>
          <w:b w:val="false"/>
          <w:bCs w:val="false"/>
          <w:i w:val="0"/>
          <w:iCs w:val="false"/>
          <w:sz w:val="24"/>
          <w:szCs w:val="24"/>
        </w:rPr>
        <w:t xml:space="preserve">Applies to: [personnel who own or track findings and issues: security coordinator, IT support, and leadership].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ptos" w:cs="Aptos" w:eastAsia="Aptos" w:hAnsi="Aptos"/>
          <w:b w:val="false"/>
          <w:bCs w:val="false"/>
          <w:i w:val="0"/>
          <w:iCs w:val="false"/>
          <w:sz w:val="24"/>
          <w:szCs w:val="24"/>
        </w:rPr>
        <w:t xml:space="preserve">Covers: overdue or unresolved findings recorded in the Risk / Finding Register, and unresolved operational issues routed out of alert triage.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ptos" w:cs="Aptos" w:eastAsia="Aptos" w:hAnsi="Aptos"/>
          <w:b w:val="false"/>
          <w:bCs w:val="false"/>
          <w:i w:val="0"/>
          <w:iCs w:val="false"/>
          <w:sz w:val="24"/>
          <w:szCs w:val="24"/>
        </w:rPr>
        <w:t xml:space="preserve">Excludes: real-time security-alert handling, which follows the Alert Triage &amp; Escalation Procedure; incident notification, which follows the Incident Response Plan.</w:t>
      </w:r>
    </w:p>
    <w:p>
      <w:pPr>
        <w:pStyle w:val="Heading2"/>
        <w:spacing w:after="100" w:before="220"/>
      </w:pPr>
      <w:r>
        <w:rPr>
          <w:rFonts w:ascii="Aptos" w:cs="Aptos" w:eastAsia="Aptos" w:hAnsi="Aptos"/>
          <w:b/>
          <w:bCs/>
          <w:color w:val="1B3A5C"/>
          <w:sz w:val="26"/>
          <w:szCs w:val="26"/>
        </w:rPr>
        <w:t xml:space="preserve">3. Prerequisites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ptos" w:cs="Aptos" w:eastAsia="Aptos" w:hAnsi="Aptos"/>
          <w:b w:val="false"/>
          <w:bCs w:val="false"/>
          <w:i w:val="0"/>
          <w:iCs w:val="false"/>
          <w:sz w:val="24"/>
          <w:szCs w:val="24"/>
        </w:rPr>
        <w:t xml:space="preserve">The Risk / Finding Register is current, and each open item has an owner, a severity, and a due date.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ptos" w:cs="Aptos" w:eastAsia="Aptos" w:hAnsi="Aptos"/>
          <w:b w:val="false"/>
          <w:bCs w:val="false"/>
          <w:i w:val="0"/>
          <w:iCs w:val="false"/>
          <w:sz w:val="24"/>
          <w:szCs w:val="24"/>
        </w:rPr>
        <w:t xml:space="preserve">Access to the Risk / Finding Register and to leadership contacts.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ptos" w:cs="Aptos" w:eastAsia="Aptos" w:hAnsi="Aptos"/>
          <w:b w:val="false"/>
          <w:bCs w:val="false"/>
          <w:i w:val="0"/>
          <w:iCs w:val="false"/>
          <w:sz w:val="24"/>
          <w:szCs w:val="24"/>
        </w:rPr>
        <w:t xml:space="preserve">The severity and tier language used here matches the Risk / Finding Register.</w:t>
      </w:r>
    </w:p>
    <w:p>
      <w:pPr>
        <w:pStyle w:val="Heading2"/>
        <w:spacing w:after="100" w:before="220"/>
      </w:pPr>
      <w:r>
        <w:rPr>
          <w:rFonts w:ascii="Aptos" w:cs="Aptos" w:eastAsia="Aptos" w:hAnsi="Aptos"/>
          <w:b/>
          <w:bCs/>
          <w:color w:val="1B3A5C"/>
          <w:sz w:val="26"/>
          <w:szCs w:val="26"/>
        </w:rPr>
        <w:t xml:space="preserve">4. Escalation Thresholds and Paths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900"/>
        <w:gridCol w:w="2200"/>
        <w:gridCol w:w="1760"/>
        <w:gridCol w:w="2000"/>
      </w:tblGrid>
      <w:tr>
        <w:trPr>
          <w:cantSplit/>
          <w:tblHeader/>
        </w:trPr>
        <w:tc>
          <w:tcPr>
            <w:tcW w:type="dxa" w:w="2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" w:cs="Aptos" w:eastAsia="Aptos" w:hAnsi="Aptos"/>
                <w:b/>
                <w:bCs/>
                <w:color w:val="FFFFFF"/>
                <w:sz w:val="24"/>
                <w:szCs w:val="24"/>
              </w:rPr>
              <w:t xml:space="preserve">Trigger / condition</w:t>
            </w:r>
          </w:p>
        </w:tc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" w:cs="Aptos" w:eastAsia="Aptos" w:hAnsi="Aptos"/>
                <w:b/>
                <w:bCs/>
                <w:color w:val="FFFFFF"/>
                <w:sz w:val="24"/>
                <w:szCs w:val="24"/>
              </w:rPr>
              <w:t xml:space="preserve">Tier</w:t>
            </w:r>
          </w:p>
        </w:tc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" w:cs="Aptos" w:eastAsia="Aptos" w:hAnsi="Aptos"/>
                <w:b/>
                <w:bCs/>
                <w:color w:val="FFFFFF"/>
                <w:sz w:val="24"/>
                <w:szCs w:val="24"/>
              </w:rPr>
              <w:t xml:space="preserve">Escalate to (role)</w:t>
            </w:r>
          </w:p>
        </w:tc>
        <w:tc>
          <w:tcPr>
            <w:tcW w:type="dxa" w:w="1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" w:cs="Aptos" w:eastAsia="Aptos" w:hAnsi="Aptos"/>
                <w:b/>
                <w:bCs/>
                <w:color w:val="FFFFFF"/>
                <w:sz w:val="24"/>
                <w:szCs w:val="24"/>
              </w:rPr>
              <w:t xml:space="preserve">Timeframe</w:t>
            </w:r>
          </w:p>
        </w:tc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" w:cs="Aptos" w:eastAsia="Aptos" w:hAnsi="Aptos"/>
                <w:b/>
                <w:bCs/>
                <w:color w:val="FFFFFF"/>
                <w:sz w:val="24"/>
                <w:szCs w:val="24"/>
              </w:rPr>
              <w:t xml:space="preserve">Where recorded</w:t>
            </w:r>
          </w:p>
        </w:tc>
      </w:tr>
      <w:tr>
        <w:trPr>
          <w:cantSplit/>
        </w:trPr>
        <w:tc>
          <w:tcPr>
            <w:tcW w:type="dxa" w:w="2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Finding 15 or more days overdue</w:t>
            </w:r>
          </w:p>
        </w:tc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Tier 1</w:t>
            </w:r>
          </w:p>
        </w:tc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Item owner and supervisor</w:t>
            </w:r>
          </w:p>
        </w:tc>
        <w:tc>
          <w:tcPr>
            <w:tcW w:type="dxa" w:w="1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5 business days</w:t>
            </w:r>
          </w:p>
        </w:tc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Risk / Finding Register</w:t>
            </w:r>
          </w:p>
        </w:tc>
      </w:tr>
      <w:tr>
        <w:trPr>
          <w:cantSplit/>
        </w:trPr>
        <w:tc>
          <w:tcPr>
            <w:tcW w:type="dxa" w:w="2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Finding 30+ days overdue, or high severity</w:t>
            </w:r>
          </w:p>
        </w:tc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Tier 2</w:t>
            </w:r>
          </w:p>
        </w:tc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Security Coordinator and Director</w:t>
            </w:r>
          </w:p>
        </w:tc>
        <w:tc>
          <w:tcPr>
            <w:tcW w:type="dxa" w:w="1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3 business days</w:t>
            </w:r>
          </w:p>
        </w:tc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Risk / Finding Register</w:t>
            </w:r>
          </w:p>
        </w:tc>
      </w:tr>
      <w:tr>
        <w:trPr>
          <w:cantSplit/>
        </w:trPr>
        <w:tc>
          <w:tcPr>
            <w:tcW w:type="dxa" w:w="2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Critical finding, or repeated missed due date</w:t>
            </w:r>
          </w:p>
        </w:tc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Tier 3</w:t>
            </w:r>
          </w:p>
        </w:tc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Director and leadership</w:t>
            </w:r>
          </w:p>
        </w:tc>
        <w:tc>
          <w:tcPr>
            <w:tcW w:type="dxa" w:w="1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Immediately</w:t>
            </w:r>
          </w:p>
        </w:tc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Risk / Finding Register; leadership review</w:t>
            </w:r>
          </w:p>
        </w:tc>
      </w:tr>
      <w:tr>
        <w:trPr>
          <w:cantSplit/>
        </w:trPr>
        <w:tc>
          <w:tcPr>
            <w:tcW w:type="dxa" w:w="2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Unresolved operational issue past its target</w:t>
            </w:r>
          </w:p>
        </w:tc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Tier 2</w:t>
            </w:r>
          </w:p>
        </w:tc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Shared county IT and Director</w:t>
            </w:r>
          </w:p>
        </w:tc>
        <w:tc>
          <w:tcPr>
            <w:tcW w:type="dxa" w:w="1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5 business days</w:t>
            </w:r>
          </w:p>
        </w:tc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tracked in the Risk / Finding Register</w:t>
            </w:r>
          </w:p>
        </w:tc>
      </w:tr>
    </w:tbl>
    <w:p>
      <w:pPr>
        <w:spacing w:after="120" w:before="0"/>
      </w:pPr>
      <w:r>
        <w:rPr>
          <w:rFonts w:ascii="Aptos" w:cs="Aptos" w:eastAsia="Aptos" w:hAnsi="Aptos"/>
          <w:b w:val="false"/>
          <w:bCs w:val="false"/>
          <w:i w:val="0"/>
          <w:iCs w:val="false"/>
          <w:sz w:val="24"/>
          <w:szCs w:val="24"/>
        </w:rPr>
        <w:t xml:space="preserve">Step 1. The item owner records the finding or issue, its severity, and its due date in the Risk / Finding Register.</w:t>
      </w:r>
    </w:p>
    <w:p>
      <w:pPr>
        <w:spacing w:after="120" w:before="0"/>
      </w:pPr>
      <w:r>
        <w:rPr>
          <w:rFonts w:ascii="Aptos" w:cs="Aptos" w:eastAsia="Aptos" w:hAnsi="Aptos"/>
          <w:b w:val="false"/>
          <w:bCs w:val="false"/>
          <w:i w:val="0"/>
          <w:iCs w:val="false"/>
          <w:sz w:val="24"/>
          <w:szCs w:val="24"/>
        </w:rPr>
        <w:t xml:space="preserve">Step 2. When an item passes a threshold above, the owner escalates to the role named for that tier within the stated timeframe.</w:t>
      </w:r>
    </w:p>
    <w:p>
      <w:pPr>
        <w:spacing w:after="120" w:before="0"/>
      </w:pPr>
      <w:r>
        <w:rPr>
          <w:rFonts w:ascii="Aptos" w:cs="Aptos" w:eastAsia="Aptos" w:hAnsi="Aptos"/>
          <w:b w:val="false"/>
          <w:bCs w:val="false"/>
          <w:i w:val="0"/>
          <w:iCs w:val="false"/>
          <w:sz w:val="24"/>
          <w:szCs w:val="24"/>
        </w:rPr>
        <w:t xml:space="preserve">Step 3. Leadership reviews escalated items, sets priority, and directs resources or accepts the risk in writing.</w:t>
      </w:r>
    </w:p>
    <w:p>
      <w:pPr>
        <w:spacing w:after="120" w:before="0"/>
      </w:pPr>
      <w:r>
        <w:rPr>
          <w:rFonts w:ascii="Aptos" w:cs="Aptos" w:eastAsia="Aptos" w:hAnsi="Aptos"/>
          <w:b w:val="false"/>
          <w:bCs w:val="false"/>
          <w:i w:val="0"/>
          <w:iCs w:val="false"/>
          <w:sz w:val="24"/>
          <w:szCs w:val="24"/>
        </w:rPr>
        <w:t xml:space="preserve">Step 4. The outcome and any new due date are recorded back in the Risk / Finding Register.</w:t>
      </w:r>
    </w:p>
    <w:p>
      <w:pPr>
        <w:pStyle w:val="Heading2"/>
        <w:spacing w:after="100" w:before="220"/>
      </w:pPr>
      <w:r>
        <w:rPr>
          <w:rFonts w:ascii="Aptos" w:cs="Aptos" w:eastAsia="Aptos" w:hAnsi="Aptos"/>
          <w:b/>
          <w:bCs/>
          <w:color w:val="1B3A5C"/>
          <w:sz w:val="26"/>
          <w:szCs w:val="26"/>
        </w:rPr>
        <w:t xml:space="preserve">5. Verification Criteria</w:t>
      </w:r>
    </w:p>
    <w:p>
      <w:pPr>
        <w:spacing w:after="120" w:before="0"/>
      </w:pPr>
      <w:r>
        <w:rPr>
          <w:rFonts w:ascii="Aptos" w:cs="Aptos" w:eastAsia="Aptos" w:hAnsi="Aptos"/>
          <w:b w:val="false"/>
          <w:bCs w:val="false"/>
          <w:i w:val="0"/>
          <w:iCs w:val="false"/>
          <w:sz w:val="24"/>
          <w:szCs w:val="24"/>
        </w:rPr>
        <w:t xml:space="preserve">Every finding or issue that passes a threshold has a recorded escalation to the role named for its tier, within the stated timeframe, and a recorded leadership decision.</w:t>
      </w:r>
    </w:p>
    <w:p>
      <w:pPr>
        <w:pStyle w:val="Heading2"/>
        <w:spacing w:after="100" w:before="220"/>
      </w:pPr>
      <w:r>
        <w:rPr>
          <w:rFonts w:ascii="Aptos" w:cs="Aptos" w:eastAsia="Aptos" w:hAnsi="Aptos"/>
          <w:b/>
          <w:bCs/>
          <w:color w:val="1B3A5C"/>
          <w:sz w:val="26"/>
          <w:szCs w:val="26"/>
        </w:rPr>
        <w:t xml:space="preserve">6. Related Documents</w:t>
      </w:r>
    </w:p>
    <w:p>
      <w:pPr>
        <w:spacing w:after="120" w:before="0"/>
      </w:pPr>
      <w:r>
        <w:rPr>
          <w:rFonts w:ascii="Aptos" w:cs="Aptos" w:eastAsia="Aptos" w:hAnsi="Aptos"/>
          <w:b w:val="false"/>
          <w:bCs w:val="false"/>
          <w:i w:val="0"/>
          <w:iCs w:val="false"/>
          <w:sz w:val="24"/>
          <w:szCs w:val="24"/>
        </w:rPr>
        <w:t xml:space="preserve">Risk / Finding Register (POA&amp;M); Alert Triage &amp; Escalation Procedure; Incident Notification &amp; Escalation Contact List; Incident Response Plan.</w:t>
      </w:r>
    </w:p>
    <w:p>
      <w:pPr>
        <w:pStyle w:val="Heading2"/>
        <w:spacing w:after="100" w:before="220"/>
      </w:pPr>
      <w:r>
        <w:rPr>
          <w:rFonts w:ascii="Aptos" w:cs="Aptos" w:eastAsia="Aptos" w:hAnsi="Aptos"/>
          <w:b/>
          <w:bCs/>
          <w:color w:val="1B3A5C"/>
          <w:sz w:val="26"/>
          <w:szCs w:val="26"/>
        </w:rPr>
        <w:t xml:space="preserve">Profile Scaling Notes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6160"/>
      </w:tblGrid>
      <w:tr>
        <w:trPr>
          <w:cantSplit/>
          <w:tblHeader/>
        </w:trPr>
        <w:tc>
          <w:tcPr>
            <w:tcW w:type="dxa" w:w="3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" w:cs="Aptos" w:eastAsia="Aptos" w:hAnsi="Aptos"/>
                <w:b/>
                <w:bCs/>
                <w:color w:val="FFFFFF"/>
                <w:sz w:val="24"/>
                <w:szCs w:val="24"/>
              </w:rPr>
              <w:t xml:space="preserve">PSAP Profile</w:t>
            </w:r>
          </w:p>
        </w:tc>
        <w:tc>
          <w:tcPr>
            <w:tcW w:type="dxa" w:w="61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" w:cs="Aptos" w:eastAsia="Aptos" w:hAnsi="Aptos"/>
                <w:b/>
                <w:bCs/>
                <w:color w:val="FFFFFF"/>
                <w:sz w:val="24"/>
                <w:szCs w:val="24"/>
              </w:rPr>
              <w:t xml:space="preserve">Minimum-viable implementation</w:t>
            </w:r>
          </w:p>
        </w:tc>
      </w:tr>
      <w:tr>
        <w:trPr>
          <w:cantSplit/>
        </w:trPr>
        <w:tc>
          <w:tcPr>
            <w:tcW w:type="dxa" w:w="3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Medium (6–25, shared county IT)</w:t>
            </w:r>
          </w:p>
        </w:tc>
        <w:tc>
          <w:tcPr>
            <w:tcW w:type="dxa" w:w="61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A named coordinator tracks findings, escalates overdue items to the director on the thresholds above, and records the decisions in the register.</w:t>
            </w:r>
          </w:p>
        </w:tc>
      </w:tr>
    </w:tbl>
    <w:p>
      <w:pPr>
        <w:spacing w:after="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rPr>
          <w:cantSplit/>
        </w:trPr>
        <w:tc>
          <w:tcPr>
            <w:tcW w:type="dxa" w:w="9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EF2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rFonts w:ascii="Aptos" w:cs="Aptos" w:eastAsia="Aptos" w:hAnsi="Aptos"/>
                <w:b/>
                <w:bCs/>
                <w:i w:val="false"/>
                <w:iCs w:val="false"/>
                <w:color w:val="1B3A5C"/>
                <w:sz w:val="24"/>
                <w:szCs w:val="24"/>
              </w:rPr>
              <w:t xml:space="preserve">Source Authority</w:t>
            </w:r>
          </w:p>
          <w:p>
            <w:pPr>
              <w:spacing w:after="40" w:before="0"/>
            </w:pPr>
            <w:r>
              <w:rPr>
                <w:rFonts w:ascii="Aptos" w:cs="Aptos" w:eastAsia="Aptos" w:hAnsi="Aptos"/>
                <w:b w:val="0"/>
                <w:bCs w:val="false"/>
                <w:i w:val="0"/>
                <w:iCs w:val="false"/>
                <w:sz w:val="24"/>
                <w:szCs w:val="24"/>
              </w:rPr>
              <w:t xml:space="preserve">NENA-STA-040.2-2024: §4.1.1 (Senior Management); §4.3 (Risk Management)</w:t>
            </w:r>
          </w:p>
          <w:p>
            <w:pPr>
              <w:spacing w:after="40" w:before="0"/>
            </w:pPr>
            <w:r>
              <w:rPr>
                <w:rFonts w:ascii="Aptos" w:cs="Aptos" w:eastAsia="Aptos" w:hAnsi="Aptos"/>
                <w:b w:val="0"/>
                <w:bCs w:val="false"/>
                <w:i w:val="0"/>
                <w:iCs w:val="false"/>
                <w:sz w:val="24"/>
                <w:szCs w:val="24"/>
              </w:rPr>
              <w:t xml:space="preserve">NIST SP 800-53 Rev. 5: CA-5, PM-4, RA-7</w:t>
            </w:r>
          </w:p>
        </w:tc>
      </w:tr>
    </w:tbl>
    <w:p>
      <w:pPr>
        <w:pStyle w:val="Heading2"/>
        <w:spacing w:after="100" w:before="220"/>
      </w:pPr>
      <w:r>
        <w:rPr>
          <w:rFonts w:ascii="Aptos" w:cs="Aptos" w:eastAsia="Aptos" w:hAnsi="Aptos"/>
          <w:b/>
          <w:bCs/>
          <w:color w:val="1B3A5C"/>
          <w:sz w:val="26"/>
          <w:szCs w:val="26"/>
        </w:rPr>
        <w:t xml:space="preserve">Approval Signatures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2360"/>
        <w:gridCol w:w="2600"/>
        <w:gridCol w:w="1400"/>
      </w:tblGrid>
      <w:tr>
        <w:trPr>
          <w:cantSplit/>
          <w:tblHeader/>
        </w:trPr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" w:cs="Aptos" w:eastAsia="Aptos" w:hAnsi="Aptos"/>
                <w:b/>
                <w:bCs/>
                <w:color w:val="FFFFFF"/>
                <w:sz w:val="24"/>
                <w:szCs w:val="24"/>
              </w:rPr>
              <w:t xml:space="preserve">Role</w:t>
            </w:r>
          </w:p>
        </w:tc>
        <w:tc>
          <w:tcPr>
            <w:tcW w:type="dxa" w:w="2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" w:cs="Aptos" w:eastAsia="Aptos" w:hAnsi="Aptos"/>
                <w:b/>
                <w:bCs/>
                <w:color w:val="FFFFFF"/>
                <w:sz w:val="24"/>
                <w:szCs w:val="24"/>
              </w:rPr>
              <w:t xml:space="preserve">Name</w:t>
            </w:r>
          </w:p>
        </w:tc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" w:cs="Aptos" w:eastAsia="Aptos" w:hAnsi="Aptos"/>
                <w:b/>
                <w:bCs/>
                <w:color w:val="FFFFFF"/>
                <w:sz w:val="24"/>
                <w:szCs w:val="24"/>
              </w:rPr>
              <w:t xml:space="preserve">Signature</w:t>
            </w:r>
          </w:p>
        </w:tc>
        <w:tc>
          <w:tcPr>
            <w:tcW w:type="dxa" w:w="1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" w:cs="Aptos" w:eastAsia="Aptos" w:hAnsi="Aptos"/>
                <w:b/>
                <w:bCs/>
                <w:color w:val="FFFFFF"/>
                <w:sz w:val="24"/>
                <w:szCs w:val="24"/>
              </w:rPr>
              <w:t xml:space="preserve">Date</w:t>
            </w:r>
          </w:p>
        </w:tc>
      </w:tr>
      <w:tr>
        <w:trPr>
          <w:cantSplit/>
        </w:trPr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Director</w:t>
            </w:r>
          </w:p>
        </w:tc>
        <w:tc>
          <w:tcPr>
            <w:tcW w:type="dxa" w:w="2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>Anthony Reyes</w:t>
            </w:r>
          </w:p>
        </w:tc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>/s/ Anthony Reyes</w:t>
            </w:r>
          </w:p>
        </w:tc>
        <w:tc>
          <w:tcPr>
            <w:tcW w:type="dxa" w:w="1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>2026-03-05</w:t>
            </w:r>
          </w:p>
        </w:tc>
      </w:tr>
      <w:tr>
        <w:trPr>
          <w:cantSplit/>
        </w:trPr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Security Coordinator</w:t>
            </w:r>
          </w:p>
        </w:tc>
        <w:tc>
          <w:tcPr>
            <w:tcW w:type="dxa" w:w="2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>(on file)</w:t>
            </w:r>
          </w:p>
        </w:tc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>(on file)</w:t>
            </w:r>
          </w:p>
        </w:tc>
        <w:tc>
          <w:tcPr>
            <w:tcW w:type="dxa" w:w="1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>2026-03-05</w:t>
            </w:r>
          </w:p>
        </w:tc>
      </w:tr>
    </w:tbl>
    <w:p>
      <w:pPr>
        <w:pStyle w:val="Heading2"/>
        <w:spacing w:after="100" w:before="220"/>
      </w:pPr>
      <w:r>
        <w:rPr>
          <w:rFonts w:ascii="Aptos" w:cs="Aptos" w:eastAsia="Aptos" w:hAnsi="Aptos"/>
          <w:b/>
          <w:bCs/>
          <w:color w:val="1B3A5C"/>
          <w:sz w:val="26"/>
          <w:szCs w:val="26"/>
        </w:rPr>
        <w:t xml:space="preserve">Revision History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300"/>
        <w:gridCol w:w="1600"/>
        <w:gridCol w:w="2200"/>
        <w:gridCol w:w="4260"/>
      </w:tblGrid>
      <w:tr>
        <w:trPr>
          <w:cantSplit/>
          <w:tblHeader/>
        </w:trPr>
        <w:tc>
          <w:tcPr>
            <w:tcW w:type="dxa" w:w="1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" w:cs="Aptos" w:eastAsia="Aptos" w:hAnsi="Aptos"/>
                <w:b/>
                <w:bCs/>
                <w:color w:val="FFFFFF"/>
                <w:sz w:val="24"/>
                <w:szCs w:val="24"/>
              </w:rPr>
              <w:t xml:space="preserve">Version</w:t>
            </w:r>
          </w:p>
        </w:tc>
        <w:tc>
          <w:tcPr>
            <w:tcW w:type="dxa" w:w="1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" w:cs="Aptos" w:eastAsia="Aptos" w:hAnsi="Aptos"/>
                <w:b/>
                <w:bCs/>
                <w:color w:val="FFFFFF"/>
                <w:sz w:val="24"/>
                <w:szCs w:val="24"/>
              </w:rPr>
              <w:t xml:space="preserve">Date</w:t>
            </w:r>
          </w:p>
        </w:tc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" w:cs="Aptos" w:eastAsia="Aptos" w:hAnsi="Aptos"/>
                <w:b/>
                <w:bCs/>
                <w:color w:val="FFFFFF"/>
                <w:sz w:val="24"/>
                <w:szCs w:val="24"/>
              </w:rPr>
              <w:t xml:space="preserve">Author</w:t>
            </w:r>
          </w:p>
        </w:tc>
        <w:tc>
          <w:tcPr>
            <w:tcW w:type="dxa" w:w="42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" w:cs="Aptos" w:eastAsia="Aptos" w:hAnsi="Aptos"/>
                <w:b/>
                <w:bCs/>
                <w:color w:val="FFFFFF"/>
                <w:sz w:val="24"/>
                <w:szCs w:val="24"/>
              </w:rPr>
              <w:t xml:space="preserve">Summary of Change</w:t>
            </w:r>
          </w:p>
        </w:tc>
      </w:tr>
      <w:tr>
        <w:trPr>
          <w:cantSplit/>
        </w:trPr>
        <w:tc>
          <w:tcPr>
            <w:tcW w:type="dxa" w:w="1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1.0</w:t>
            </w:r>
          </w:p>
        </w:tc>
        <w:tc>
          <w:tcPr>
            <w:tcW w:type="dxa" w:w="1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2026-03-05</w:t>
            </w:r>
          </w:p>
        </w:tc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Security Coordinator</w:t>
            </w:r>
          </w:p>
        </w:tc>
        <w:tc>
          <w:tcPr>
            <w:tcW w:type="dxa" w:w="42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Initial issue</w:t>
            </w:r>
          </w:p>
        </w:tc>
      </w:tr>
    </w:tbl>
    <w:p>
      <w:pPr>
        <w:spacing w:after="60"/>
      </w:pPr>
    </w:p>
    <w:sectPr>
      <w:headerReference w:type="default" r:id="rId7"/>
      <w:footerReference w:type="default" r:id="rId8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Aptos" w:cs="Aptos" w:eastAsia="Aptos" w:hAnsi="Aptos"/>
        <w:color w:val="595959"/>
        <w:sz w:val="18"/>
        <w:szCs w:val="18"/>
      </w:rPr>
      <w:t xml:space="preserve">Page </w:t>
    </w:r>
    <w:r>
      <w:rPr>
        <w:rFonts w:ascii="Aptos" w:cs="Aptos" w:eastAsia="Aptos" w:hAnsi="Aptos"/>
        <w:color w:val="595959"/>
        <w:sz w:val="18"/>
        <w:szCs w:val="18"/>
      </w:rPr>
      <w:fldChar w:fldCharType="begin"/>
      <w:instrText xml:space="preserve">PAGE</w:instrText>
      <w:fldChar w:fldCharType="separate"/>
      <w:fldChar w:fldCharType="end"/>
    </w:r>
    <w:r>
      <w:rPr>
        <w:rFonts w:ascii="Aptos" w:cs="Aptos" w:eastAsia="Aptos" w:hAnsi="Aptos"/>
        <w:color w:val="595959"/>
        <w:sz w:val="18"/>
        <w:szCs w:val="18"/>
      </w:rPr>
      <w:t xml:space="preserve"> of </w:t>
    </w:r>
    <w:r>
      <w:rPr>
        <w:rFonts w:ascii="Aptos" w:cs="Aptos" w:eastAsia="Aptos" w:hAnsi="Aptos"/>
        <w:color w:val="595959"/>
        <w:sz w:val="18"/>
        <w:szCs w:val="18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center"/>
    </w:pPr>
    <w:r>
      <w:rPr>
        <w:rFonts w:ascii="Aptos" w:cs="Aptos" w:eastAsia="Aptos" w:hAnsi="Aptos"/>
        <w:color w:val="595959"/>
        <w:sz w:val="16"/>
        <w:szCs w:val="16"/>
      </w:rPr>
    </w:r>
    <w:r>
      <w:drawing>
        <wp:inline xmlns:a="http://schemas.openxmlformats.org/drawingml/2006/main" xmlns:pic="http://schemas.openxmlformats.org/drawingml/2006/picture">
          <wp:extent cx="777240" cy="777240"/>
          <wp:docPr id="1" name="Picture 1"/>
          <wp:cNvGraphicFramePr>
            <a:graphicFrameLocks noChangeAspect="1"/>
          </wp:cNvGraphicFramePr>
          <a:graphic>
            <a:graphicData uri="http://schemas.openxmlformats.org/drawingml/2006/picture">
              <pic:pic>
                <pic:nvPicPr>
                  <pic:cNvPr id="0" name="seal-wabash.png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777240" cy="777240"/>
                  </a:xfrm>
                  <a:prstGeom prst="rect"/>
                </pic:spPr>
              </pic:pic>
            </a:graphicData>
          </a:graphic>
        </wp:inline>
      </w:drawing>
    </w:r>
  </w:p>
  <w:p>
    <w:pPr>
      <w:pBdr>
        <w:bottom w:val="single" w:color="1B3A5C" w:sz="6" w:space="2"/>
      </w:pBdr>
      <w:jc w:val="right"/>
    </w:pPr>
    <w:r>
      <w:rPr>
        <w:rFonts w:ascii="Aptos" w:cs="Aptos" w:eastAsia="Aptos" w:hAnsi="Aptos"/>
        <w:color w:val="595959"/>
        <w:sz w:val="16"/>
        <w:szCs w:val="16"/>
      </w:rPr>
    </w:r>
  </w:p>
  <w:p>
    <w:r>
      <w:drawing>
        <wp:anchor xmlns:a="http://schemas.openxmlformats.org/drawingml/2006/main" behindDoc="1" distT="0" distB="0" distL="0" distR="0" simplePos="0" locked="0" layoutInCell="1" allowOverlap="1" relativeHeight="0">
          <wp:simplePos x="0" y="0"/>
          <wp:positionH relativeFrom="page">
            <wp:align>center</wp:align>
          </wp:positionH>
          <wp:positionV relativeFrom="page">
            <wp:align>center</wp:align>
          </wp:positionV>
          <wp:extent cx="5943600" cy="5943600"/>
          <wp:effectExtent l="0" t="0" r="0" b="0"/>
          <wp:wrapNone/>
          <wp:docPr id="990" name="SampleWatermark"/>
          <wp:cNvGraphicFramePr/>
          <a:graphic xmlns:pic="http://schemas.openxmlformats.org/drawingml/2006/picture">
            <a:graphicData uri="http://schemas.openxmlformats.org/drawingml/2006/picture">
              <pic:pic>
                <pic:nvPicPr>
                  <pic:cNvPr id="0" name="_sample_wm.png"/>
                  <pic:cNvPicPr/>
                </pic:nvPicPr>
                <pic:blipFill>
                  <a:blip r:embed="rId2"/>
                  <a:stretch>
                    <a:fillRect/>
                  </a:stretch>
                </pic:blipFill>
                <pic:spPr>
                  <a:xfrm>
                    <a:off x="0" y="0"/>
                    <a:ext cx="5943600" cy="5943600"/>
                  </a:xfrm>
                  <a:prstGeom prst="rect"/>
                </pic:spPr>
              </pic:pic>
            </a:graphicData>
          </a:graphic>
        </wp:anchor>
      </w:drawing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600" w:hanging="32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600" w:hanging="320"/>
      </w:pPr>
    </w:lvl>
  </w:abstractNum>
  <w:abstractNum w:abstractNumId="4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600" w:hanging="320"/>
      </w:pPr>
    </w:lvl>
  </w:abstractNum>
  <w:abstractNum w:abstractNumId="5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600" w:hanging="320"/>
      </w:pPr>
    </w:lvl>
  </w:abstractNum>
  <w:abstractNum w:abstractNumId="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600" w:hanging="320"/>
      </w:pPr>
    </w:lvl>
  </w:abstractNum>
  <w:abstractNum w:abstractNumId="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600" w:hanging="320"/>
      </w:pPr>
    </w:lvl>
  </w:abstractNum>
  <w:abstractNum w:abstractNumId="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600" w:hanging="320"/>
      </w:pPr>
    </w:lvl>
  </w:abstractNum>
  <w:abstractNum w:abstractNumId="9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600" w:hanging="320"/>
      </w:pPr>
    </w:lvl>
  </w:abstractNum>
  <w:abstractNum w:abstractNumId="10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600" w:hanging="320"/>
      </w:pPr>
    </w:lvl>
  </w:abstractNum>
  <w:abstractNum w:abstractNumId="11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600" w:hanging="320"/>
      </w:pPr>
    </w:lvl>
  </w:abstractNum>
  <w:abstractNum w:abstractNumId="1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600" w:hanging="320"/>
      </w:pPr>
    </w:lvl>
  </w:abstractNum>
  <w:num w:numId="1">
    <w:abstractNumId w:val="1"/>
    <w:lvlOverride w:ilvl="0">
      <w:startOverride w:val="1"/>
    </w:lvlOverride>
  </w:num>
  <w:num w:numId="2">
    <w:abstractNumId w:val="11"/>
    <w:lvlOverride w:ilvl="0">
      <w:startOverride w:val="1"/>
    </w:lvlOverride>
  </w:num>
  <w:num w:numId="3">
    <w:abstractNumId w:val="9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ptos" w:cs="Aptos" w:eastAsia="Aptos" w:hAnsi="Aptos"/>
        <w:sz w:val="24"/>
        <w:szCs w:val="24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3">
    <w:name w:val="Heading 3"/>
    <w:basedOn w:val="Normal"/>
    <w:next w:val="Normal"/>
    <w:qFormat/>
    <w:pPr>
      <w:keepNext/>
      <w:keepLines/>
      <w:spacing w:after="100" w:before="220"/>
      <w:outlineLvl w:val="2"/>
    </w:pPr>
    <w:rPr>
      <w:rFonts w:ascii="Aptos" w:cs="Aptos" w:eastAsia="Aptos" w:hAnsi="Aptos"/>
      <w:b/>
      <w:bCs/>
      <w:color w:val="1B3A5C"/>
      <w:sz w:val="26"/>
      <w:szCs w:val="26"/>
    </w:rPr>
  </w:style>
  <w:style w:type="paragraph" w:styleId="Heading4">
    <w:name w:val="Heading 4"/>
    <w:basedOn w:val="Normal"/>
    <w:next w:val="Normal"/>
    <w:qFormat/>
    <w:pPr>
      <w:keepNext/>
      <w:keepLines/>
      <w:spacing w:after="100" w:before="220"/>
      <w:outlineLvl w:val="3"/>
    </w:pPr>
    <w:rPr>
      <w:rFonts w:ascii="Aptos" w:cs="Aptos" w:eastAsia="Aptos" w:hAnsi="Aptos"/>
      <w:b/>
      <w:bCs/>
      <w:color w:val="1B3A5C"/>
      <w:sz w:val="24"/>
      <w:szCs w:val="24"/>
    </w:rPr>
  </w:style>
  <w:style w:type="paragraph" w:styleId="Heading5">
    <w:name w:val="Heading 5"/>
    <w:basedOn w:val="Normal"/>
    <w:next w:val="Normal"/>
    <w:qFormat/>
    <w:pPr>
      <w:keepNext/>
      <w:keepLines/>
      <w:spacing w:after="100" w:before="220"/>
      <w:outlineLvl w:val="4"/>
    </w:pPr>
    <w:rPr>
      <w:rFonts w:ascii="Aptos" w:cs="Aptos" w:eastAsia="Aptos" w:hAnsi="Aptos"/>
      <w:b/>
      <w:bCs/>
      <w:color w:val="1B3A5C"/>
      <w:sz w:val="24"/>
      <w:szCs w:val="24"/>
    </w:rPr>
  </w:style>
  <w:style w:type="paragraph" w:styleId="Heading6">
    <w:name w:val="Heading 6"/>
    <w:basedOn w:val="Normal"/>
    <w:next w:val="Normal"/>
    <w:qFormat/>
    <w:pPr>
      <w:keepNext/>
      <w:keepLines/>
      <w:spacing w:after="100" w:before="220"/>
      <w:outlineLvl w:val="5"/>
    </w:pPr>
    <w:rPr>
      <w:rFonts w:ascii="Aptos" w:cs="Aptos" w:eastAsia="Aptos" w:hAnsi="Aptos"/>
      <w:b/>
      <w:bCs/>
      <w:color w:val="1B3A5C"/>
      <w:sz w:val="24"/>
      <w:szCs w:val="24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keepNext/>
      <w:keepLines/>
      <w:spacing w:after="160" w:before="240"/>
      <w:outlineLvl w:val="0"/>
    </w:pPr>
    <w:rPr>
      <w:rFonts w:ascii="Aptos" w:cs="Aptos" w:eastAsia="Aptos" w:hAnsi="Aptos"/>
      <w:b/>
      <w:bCs/>
      <w:color w:val="1B3A5C"/>
      <w:sz w:val="32"/>
      <w:szCs w:val="32"/>
    </w:rPr>
  </w:style>
  <w:style w:type="paragraph" w:styleId="Heading2">
    <w:name w:val="Heading 2"/>
    <w:basedOn w:val="Normal"/>
    <w:next w:val="Normal"/>
    <w:qFormat/>
    <w:pPr>
      <w:keepNext/>
      <w:keepLines/>
      <w:spacing w:after="100" w:before="220"/>
      <w:outlineLvl w:val="1"/>
    </w:pPr>
    <w:rPr>
      <w:rFonts w:ascii="Aptos" w:cs="Aptos" w:eastAsia="Aptos" w:hAnsi="Aptos"/>
      <w:b/>
      <w:bCs/>
      <w:color w:val="1B3A5C"/>
      <w:sz w:val="26"/>
      <w:szCs w:val="26"/>
    </w:r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Relationship Id="rId2" Type="http://schemas.openxmlformats.org/officeDocument/2006/relationships/image" Target="media/image2.png"/></Relationships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911 Authority in partnership with IN911</dc:creator>
  <cp:lastModifiedBy/>
  <cp:revision>1</cp:revision>
  <dcterms:created xsi:type="dcterms:W3CDTF">2026-06-01T15:29:11.455Z</dcterms:created>
  <dcterms:modified xsi:type="dcterms:W3CDTF">2026-06-01T15:29:11.455Z</dcterms:modified>
  <dc:title xmlns:dc="http://purl.org/dc/elements/1.1/">Issue Escalation Procedure - EXAMPLE - M</dc:title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