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System Security Plans (per critical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April 13,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>Owner: Director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Restricted</w:t>
            </w:r>
          </w:p>
          <w:p>
            <w:pPr>
              <w:spacing w:after="0"/>
            </w:pP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System Security Plan documents one critical 9-1-1 system: what it is, how important it is, how it connects to and exchanges data with other systems, and the security controls in place on it. It is an as-built record, not a policy. Complete one plan per critical system. The governing documents are the Cybersecurity &amp; Privacy Policy and the Risk Management Methodology Standard; this record implements them for a single system.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Computer-Aided Dispatch (CAD)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Production (primary on-prem, cloud failover)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Consolidated center; failover hosted in cloud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WVC-CAD-01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Vendor / product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center's CAD vendor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Connectivity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Two ESInet providers (redundant), the state message switch via IDACS, and member-county RMS systems; detailed below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3. System Categorization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system's criticality and data sensitivity set the level of protection it requires. The values below are carried from the Agency's ranking and classification work, not decided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Criticality tier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Critical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Confidentiality impact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Integrity impact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Availability impact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High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Data sensitivity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Restricted; CJIS-regulated data in scope via IDACS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Categorization date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4. Interconnections &amp; Data Exchange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section records how the system connects and what data crosses each connection. A connection is not authorized until it is approved and listed here. Summarize external connections that also appear in the External Connection Inventory; record remote-device connections in the Authorized Remote Device Register and reference them 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Connected system / party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Direction &amp; data exchanged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Protocol / port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Connection type (incl. P2P)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Approved by (role) / 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ESInet provider A (primary)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Inbound: 9-1-1 call data (ANI/ALI)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SIP / provider circuit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Site-to-site (provider-managed)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 / April 13,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ESInet provider B (redundant)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Inbound: 9-1-1 call data (failover)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SIP / provider circuit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Site-to-site (provider-managed)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 / April 13,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State message switch (IDACS)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Both: NCIC/IDACS queries and responses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IDACS-approved circuit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Dedicated state connection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 / April 13,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Member-county RMS systems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Outbound: incident records export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LAN / vendor interface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Inter-agency connection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 / April 13,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Controls in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Control area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Implementation status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Access control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Unique logins; shared county IT provisions; security coordinator reviews quarterly (Access Control Policy)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Logging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CAD events sent to a central log; reviewed by the security coordinator (Logging Policy)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Endpoint protection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 maintains managed anti-malware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Backup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 place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Nightly on-prem and cloud backup; restoration tested quarterly (Backup Policy)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Control Baseline &amp; Deviations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Control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Approved baseline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CAD administrative access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Limited to shared county IT and the security coordinator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Cloud failover configuration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Mirrors the primary baseline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Validation &amp; Review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Validated against the system's controls and the governing policies after each risk review and at least annually, by the Director. Each change is recorded in the Change History below.</w:t>
      </w:r>
    </w:p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security coordinator keeps a plan for each critical system and the approved-connections list current. Review after each risk review and on any major system or integration change.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§4.2.2, §5.4, §6.11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CA-3, CM-2, CM-8, PL-2, PL-8, PM-5, RA-2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Indiana statutes and administrative code: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   240 IAC 5: IDACS Security (where the system connects to IDACS)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CJIS Security Policy v5.9: §5.1 (Information Exchange Agreements; where CJIS-regulated data is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April 13,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April 13,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April 13,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System Security Plans (per critical system)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