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Session Monitoring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 / CJIS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session-capture settings on the Agency's access systems: which session events are recorded, the timeout values as configured, and the alerting for unusual behavior. Scope is session capture on access systems (workstations, call-handling, and remote access). The central monitoring platform is documented in the SIEM / Monitoring Tool Configuration Records. This record implements the Session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Workstations, CAD, and remote access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on-prem and the county data center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AST-041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events recorded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Logins, failed attempts, privilege changes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 the Session Management Policy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Idle lock timeout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 minutes (workstations), 15 minutes (remote)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By system type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termination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 disconnect; reauthentication for admin actions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Failed periodic check ends the session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Anomaly alerting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Off-hours logins flagged; weekly review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Routed to the Alert Triage &amp; Escalation Procedure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SBC session recording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 (SBC session logs retained 90 days)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Shipped to the central log store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idle timeout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 minutes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Validated against the Session Management Policy at least semi-annually by the Shared county IT; timeout changes and new monitored events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records session-capture settings across the access systems and forwards session events to a central store; anomalies are reviewed on a cadence.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§5.6.2 (Security Event Logging)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AC-11, AC-12, AU-2, AU-3, AU-6, AU-12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CJIS Security Policy v5.9: §5.4 (Auditing and Accountability) (where IDACS-connected sessions are in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Session Monitoring Configuration Records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