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Data Labeling Procedures</w:t>
      </w:r>
    </w:p>
    <w:p>
      <w:pPr>
        <w:spacing w:after="140"/>
      </w:pPr>
      <w:r>
        <w:rPr>
          <w:rFonts w:ascii="Aptos" w:cs="Aptos" w:eastAsia="Aptos" w:hAnsi="Aptos"/>
          <w:b w:val="false"/>
          <w:bCs w:val="false"/>
          <w:i/>
          <w:iCs/>
          <w:color w:val="595959"/>
          <w:sz w:val="24"/>
          <w:szCs w:val="24"/>
        </w:rPr>
        <w:t xml:space="preserve">Hickory County 911   ·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Authority: </w:t>
            </w:r>
            <w:r>
              <w:rPr>
                <w:rFonts w:ascii="Aptos" w:cs="Aptos" w:eastAsia="Aptos" w:hAnsi="Aptos"/>
                <w:b w:val="false"/>
                <w:bCs w:val="false"/>
                <w:i w:val="false"/>
                <w:iCs w:val="false"/>
                <w:color w:val="000000"/>
                <w:sz w:val="24"/>
                <w:szCs w:val="24"/>
              </w:rPr>
              <w:t xml:space="preserve">Adopted by Hickory County 911 under the authority of Tracy Holloway, Director.</w:t>
            </w:r>
          </w:p>
          <w:p>
            <w:pPr>
              <w:spacing w:after="40"/>
            </w:pPr>
            <w:r>
              <w:rPr>
                <w:rFonts w:ascii="Aptos" w:cs="Aptos" w:eastAsia="Aptos" w:hAnsi="Aptos"/>
                <w:b/>
                <w:bCs/>
                <w:i w:val="false"/>
                <w:iCs w:val="false"/>
                <w:color w:val="000000"/>
                <w:sz w:val="24"/>
                <w:szCs w:val="24"/>
              </w:rPr>
              <w:t xml:space="preserve">Version: </w:t>
            </w:r>
            <w:r>
              <w:rPr>
                <w:rFonts w:ascii="Aptos" w:cs="Aptos" w:eastAsia="Aptos" w:hAnsi="Aptos"/>
                <w:b w:val="false"/>
                <w:bCs w:val="false"/>
                <w:i w:val="false"/>
                <w:iCs w:val="false"/>
                <w:color w:val="000000"/>
                <w:sz w:val="24"/>
                <w:szCs w:val="24"/>
              </w:rPr>
              <w:t xml:space="preserve">1.0    </w:t>
            </w:r>
            <w:r>
              <w:rPr>
                <w:rFonts w:ascii="Aptos" w:cs="Aptos" w:eastAsia="Aptos" w:hAnsi="Aptos"/>
                <w:b/>
                <w:bCs/>
                <w:i w:val="false"/>
                <w:iCs w:val="false"/>
                <w:color w:val="000000"/>
                <w:sz w:val="24"/>
                <w:szCs w:val="24"/>
              </w:rPr>
              <w:t xml:space="preserve">Effective Date: </w:t>
            </w:r>
            <w:r>
              <w:rPr>
                <w:rFonts w:ascii="Aptos" w:cs="Aptos" w:eastAsia="Aptos" w:hAnsi="Aptos"/>
                <w:b w:val="false"/>
                <w:bCs w:val="false"/>
                <w:i w:val="false"/>
                <w:iCs w:val="false"/>
                <w:color w:val="000000"/>
                <w:sz w:val="24"/>
                <w:szCs w:val="24"/>
              </w:rPr>
              <w:t xml:space="preserve">2026-06-01    </w:t>
            </w:r>
            <w:r>
              <w:rPr>
                <w:rFonts w:ascii="Aptos" w:cs="Aptos" w:eastAsia="Aptos" w:hAnsi="Aptos"/>
                <w:b/>
                <w:bCs/>
                <w:i w:val="false"/>
                <w:iCs w:val="false"/>
                <w:color w:val="000000"/>
                <w:sz w:val="24"/>
                <w:szCs w:val="24"/>
              </w:rPr>
              <w:t xml:space="preserve">Next Review: </w:t>
            </w:r>
            <w:r>
              <w:rPr>
                <w:rFonts w:ascii="Aptos" w:cs="Aptos" w:eastAsia="Aptos" w:hAnsi="Aptos"/>
                <w:b w:val="false"/>
                <w:bCs w:val="false"/>
                <w:i w:val="false"/>
                <w:iCs w:val="false"/>
                <w:color w:val="000000"/>
                <w:sz w:val="24"/>
                <w:szCs w:val="24"/>
              </w:rPr>
              <w:t xml:space="preserve">2027-06-01</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Director</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Internal</w:t>
            </w:r>
          </w:p>
        </w:tc>
      </w:tr>
    </w:tbl>
    <w:p>
      <w:pPr>
        <w:pStyle w:val="Heading2"/>
      </w:pPr>
      <w:r>
        <w:t xml:space="preserve">1. Purpose</w:t>
      </w:r>
    </w:p>
    <w:p>
      <w:pPr>
        <w:spacing w:after="80"/>
      </w:pPr>
      <w:r>
        <w:rPr>
          <w:rFonts w:ascii="Aptos" w:cs="Aptos" w:eastAsia="Aptos" w:hAnsi="Aptos"/>
          <w:b w:val="false"/>
          <w:bCs w:val="false"/>
          <w:i w:val="false"/>
          <w:iCs w:val="false"/>
          <w:color w:val="000000"/>
          <w:sz w:val="24"/>
          <w:szCs w:val="24"/>
        </w:rPr>
        <w:t xml:space="preserve">Apply and maintain classification labels on Hickory County 911 data so that handling, access, retention, and disposal follow the data's sensitivity. Labels are applied when data is created or received and reviewed whenever data moves.</w:t>
      </w:r>
    </w:p>
    <w:p>
      <w:pPr>
        <w:pStyle w:val="Heading2"/>
      </w:pPr>
      <w:r>
        <w:t xml:space="preserve">2. Scope</w:t>
      </w:r>
    </w:p>
    <w:p>
      <w:pPr>
        <w:spacing w:after="80"/>
      </w:pPr>
      <w:r>
        <w:rPr>
          <w:rFonts w:ascii="Aptos" w:cs="Aptos" w:eastAsia="Aptos" w:hAnsi="Aptos"/>
          <w:b w:val="false"/>
          <w:bCs w:val="false"/>
          <w:i w:val="false"/>
          <w:iCs w:val="false"/>
          <w:color w:val="000000"/>
          <w:sz w:val="24"/>
          <w:szCs w:val="24"/>
        </w:rPr>
        <w:t xml:space="preserve">Applies to: all personnel who create, receive, or move Agency data, including dispatchers, supervisors, administrative staff, County IT, and vendors with data access.</w:t>
      </w:r>
    </w:p>
    <w:p>
      <w:pPr>
        <w:spacing w:after="80"/>
      </w:pPr>
      <w:r>
        <w:rPr>
          <w:rFonts w:ascii="Aptos" w:cs="Aptos" w:eastAsia="Aptos" w:hAnsi="Aptos"/>
          <w:b w:val="false"/>
          <w:bCs w:val="false"/>
          <w:i w:val="false"/>
          <w:iCs w:val="false"/>
          <w:color w:val="000000"/>
          <w:sz w:val="24"/>
          <w:szCs w:val="24"/>
        </w:rPr>
        <w:t xml:space="preserve">Covers: data created internally, data received from external parties, and data moved across departments or to partners, in any form (electronic, recorded audio, paper, removable media).</w:t>
      </w:r>
    </w:p>
    <w:p>
      <w:pPr>
        <w:spacing w:after="80"/>
      </w:pPr>
      <w:r>
        <w:rPr>
          <w:rFonts w:ascii="Aptos" w:cs="Aptos" w:eastAsia="Aptos" w:hAnsi="Aptos"/>
          <w:b w:val="false"/>
          <w:bCs w:val="false"/>
          <w:i w:val="false"/>
          <w:iCs w:val="false"/>
          <w:color w:val="000000"/>
          <w:sz w:val="24"/>
          <w:szCs w:val="24"/>
        </w:rPr>
        <w:t xml:space="preserve">Excludes: transitory working notes with no retention value, which are discarded at end of use.</w:t>
      </w:r>
    </w:p>
    <w:p>
      <w:pPr>
        <w:pStyle w:val="Heading2"/>
      </w:pPr>
      <w:r>
        <w:t xml:space="preserve">3. Prerequisites</w:t>
      </w:r>
    </w:p>
    <w:p>
      <w:pPr>
        <w:spacing w:after="80"/>
      </w:pPr>
      <w:r>
        <w:rPr>
          <w:rFonts w:ascii="Aptos" w:cs="Aptos" w:eastAsia="Aptos" w:hAnsi="Aptos"/>
          <w:b w:val="false"/>
          <w:bCs w:val="false"/>
          <w:i w:val="false"/>
          <w:iCs w:val="false"/>
          <w:color w:val="000000"/>
          <w:sz w:val="24"/>
          <w:szCs w:val="24"/>
        </w:rPr>
        <w:t xml:space="preserve">Classification levels defined in the Data Classification Policy: Internal, Restricted, and Confidential, with examples per level.</w:t>
      </w:r>
    </w:p>
    <w:p>
      <w:pPr>
        <w:spacing w:after="80"/>
      </w:pPr>
      <w:r>
        <w:rPr>
          <w:rFonts w:ascii="Aptos" w:cs="Aptos" w:eastAsia="Aptos" w:hAnsi="Aptos"/>
          <w:b w:val="false"/>
          <w:bCs w:val="false"/>
          <w:i w:val="false"/>
          <w:iCs w:val="false"/>
          <w:color w:val="000000"/>
          <w:sz w:val="24"/>
          <w:szCs w:val="24"/>
        </w:rPr>
        <w:t xml:space="preserve">Labeling tools in use: document header/footer markings, a shared-drive folder-naming convention, and physical labels for paper and removable media.</w:t>
      </w:r>
    </w:p>
    <w:p>
      <w:pPr>
        <w:spacing w:after="80"/>
      </w:pPr>
      <w:r>
        <w:rPr>
          <w:rFonts w:ascii="Aptos" w:cs="Aptos" w:eastAsia="Aptos" w:hAnsi="Aptos"/>
          <w:b w:val="false"/>
          <w:bCs w:val="false"/>
          <w:i w:val="false"/>
          <w:iCs w:val="false"/>
          <w:color w:val="000000"/>
          <w:sz w:val="24"/>
          <w:szCs w:val="24"/>
        </w:rPr>
        <w:t xml:space="preserve">Personnel have completed the data-handling element of security awareness training.</w:t>
      </w:r>
    </w:p>
    <w:p>
      <w:pPr>
        <w:pStyle w:val="Heading2"/>
      </w:pPr>
      <w:r>
        <w:t xml:space="preserve">4. Procedure Steps</w:t>
      </w:r>
    </w:p>
    <w:p>
      <w:pPr>
        <w:spacing w:after="80"/>
      </w:pPr>
      <w:r>
        <w:rPr>
          <w:rFonts w:ascii="Aptos" w:cs="Aptos" w:eastAsia="Aptos" w:hAnsi="Aptos"/>
          <w:b/>
          <w:bCs/>
          <w:i w:val="false"/>
          <w:iCs w:val="false"/>
          <w:color w:val="000000"/>
          <w:sz w:val="24"/>
          <w:szCs w:val="24"/>
        </w:rPr>
        <w:t xml:space="preserve">4.1  Default labels on new or internally created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creating a document, record, or dataset, assign a classification label using the Data Classification Policy levels.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Dispatcher / author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content fits more than one level, apply the higher level.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Dispatcher / author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Mark the label visibly in the document, the file or folder name, or a physical label for paper and media.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Dispatcher / author</w:t>
            </w:r>
          </w:p>
        </w:tc>
      </w:tr>
    </w:tbl>
    <w:p>
      <w:pPr>
        <w:spacing w:after="80"/>
      </w:pPr>
      <w:r>
        <w:rPr>
          <w:rFonts w:ascii="Aptos" w:cs="Aptos" w:eastAsia="Aptos" w:hAnsi="Aptos"/>
          <w:b/>
          <w:bCs/>
          <w:i w:val="false"/>
          <w:iCs w:val="false"/>
          <w:color w:val="000000"/>
          <w:sz w:val="24"/>
          <w:szCs w:val="24"/>
        </w:rPr>
        <w:t xml:space="preserve">4.2  Classifying external data on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receiving data from an external party, determine its classification using the Data Classification Policy.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sender supplied a label, map it to the Agency's levels and apply the Agency label.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classification cannot be determined, default to Restricted until reviewed.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r>
    </w:tbl>
    <w:p>
      <w:pPr>
        <w:spacing w:after="80"/>
      </w:pPr>
      <w:r>
        <w:rPr>
          <w:rFonts w:ascii="Aptos" w:cs="Aptos" w:eastAsia="Aptos" w:hAnsi="Aptos"/>
          <w:b/>
          <w:bCs/>
          <w:i w:val="false"/>
          <w:iCs w:val="false"/>
          <w:color w:val="000000"/>
          <w:sz w:val="24"/>
          <w:szCs w:val="24"/>
        </w:rPr>
        <w:t xml:space="preserve">4.3  Label review when data moves across departments or to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Before sending data to another department or an external partner, confirm the current label is still correct.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Re-label if combining or extracting data changes its sensitivity (for example, aggregating call records into a report).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Confirm the receiving party is authorized for that classification before releasing; record the transfer where required.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r>
    </w:tbl>
    <w:p>
      <w:pPr>
        <w:spacing w:after="80"/>
      </w:pPr>
      <w:r>
        <w:rPr>
          <w:rFonts w:ascii="Aptos" w:cs="Aptos" w:eastAsia="Aptos" w:hAnsi="Aptos"/>
          <w:b/>
          <w:bCs/>
          <w:i w:val="false"/>
          <w:iCs w:val="false"/>
          <w:color w:val="000000"/>
          <w:sz w:val="24"/>
          <w:szCs w:val="24"/>
        </w:rPr>
        <w:t xml:space="preserve">4.4  How labels drive system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Map each label to its handling rules: access permissions, encryption, storage location, transmission method, and retention.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County IT</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Configure access so label-based permissions are enforced and access denials are logged.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County IT</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 label-to-control mappings on the policy review cycle and after system changes.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r>
    </w:tbl>
    <w:p>
      <w:pPr>
        <w:pStyle w:val="Heading2"/>
      </w:pPr>
      <w:r>
        <w:t xml:space="preserve">5. Verification Criteria</w:t>
      </w:r>
    </w:p>
    <w:p>
      <w:pPr>
        <w:spacing w:after="80"/>
      </w:pPr>
      <w:r>
        <w:rPr>
          <w:rFonts w:ascii="Aptos" w:cs="Aptos" w:eastAsia="Aptos" w:hAnsi="Aptos"/>
          <w:b w:val="false"/>
          <w:bCs w:val="false"/>
          <w:i w:val="false"/>
          <w:iCs w:val="false"/>
          <w:color w:val="000000"/>
          <w:sz w:val="24"/>
          <w:szCs w:val="24"/>
        </w:rPr>
        <w:t xml:space="preserve">New and received data carries a visible, correct label; spot checks find no unlabeled items.</w:t>
      </w:r>
    </w:p>
    <w:p>
      <w:pPr>
        <w:spacing w:after="80"/>
      </w:pPr>
      <w:r>
        <w:rPr>
          <w:rFonts w:ascii="Aptos" w:cs="Aptos" w:eastAsia="Aptos" w:hAnsi="Aptos"/>
          <w:b w:val="false"/>
          <w:bCs w:val="false"/>
          <w:i w:val="false"/>
          <w:iCs w:val="false"/>
          <w:color w:val="000000"/>
          <w:sz w:val="24"/>
          <w:szCs w:val="24"/>
        </w:rPr>
        <w:t xml:space="preserve">Label-based access controls are in force and access denials are recorded, so an unauthorized attempt against a higher-classification item produces a logged denial. Reference: Data Access Monitoring Policy.</w:t>
      </w:r>
    </w:p>
    <w:p>
      <w:pPr>
        <w:pStyle w:val="Heading2"/>
      </w:pPr>
      <w:r>
        <w:t xml:space="preserve">6. Related Documents</w:t>
      </w:r>
    </w:p>
    <w:p>
      <w:pPr>
        <w:spacing w:after="80"/>
      </w:pPr>
      <w:r>
        <w:rPr>
          <w:rFonts w:ascii="Aptos" w:cs="Aptos" w:eastAsia="Aptos" w:hAnsi="Aptos"/>
          <w:b w:val="false"/>
          <w:bCs w:val="false"/>
          <w:i w:val="false"/>
          <w:iCs w:val="false"/>
          <w:color w:val="000000"/>
          <w:sz w:val="24"/>
          <w:szCs w:val="24"/>
        </w:rPr>
        <w:t xml:space="preserve">Data Classification Policy; Data Access Monitoring Policy; Data Retention Schedule; Document Handling Standard; Data Inventory / Data Map.</w:t>
      </w:r>
    </w:p>
    <w:p>
      <w:pPr>
        <w:pStyle w:val="Heading2"/>
      </w:pPr>
      <w:r>
        <w:t xml:space="preserve">Profile Scaling Notes</w:t>
      </w:r>
    </w:p>
    <w:p>
      <w:pPr>
        <w:spacing w:after="80"/>
      </w:pPr>
      <w:r>
        <w:rPr>
          <w:rFonts w:ascii="Aptos" w:cs="Aptos" w:eastAsia="Aptos" w:hAnsi="Aptos"/>
          <w:b w:val="false"/>
          <w:bCs w:val="false"/>
          <w:i w:val="false"/>
          <w:iCs w:val="false"/>
          <w:color w:val="000000"/>
          <w:sz w:val="24"/>
          <w:szCs w:val="24"/>
        </w:rPr>
        <w:t xml:space="preserve">Hickory County 911 is a Small-profile PSAP (three full-time and two part-time dispatchers, no in-house IT). Labeling is manual: a header marking on documents, a folder-naming convention on the shared drive, and physical labels on media and paper. Incoming external data of unknown sensitivity defaults to Restricted. County IT maps labels to share permissions during its periodic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§4.1.4.1, §4.2.2.1, §4.2.2.3, §4.2.2.4</w:t>
            </w:r>
          </w:p>
          <w:p>
            <w:pPr>
              <w:spacing w:after="20"/>
            </w:pPr>
            <w:r>
              <w:rPr>
                <w:rFonts w:ascii="Aptos" w:cs="Aptos" w:eastAsia="Aptos" w:hAnsi="Aptos"/>
                <w:b w:val="false"/>
                <w:bCs w:val="false"/>
                <w:i w:val="false"/>
                <w:iCs w:val="false"/>
                <w:color w:val="000000"/>
                <w:sz w:val="24"/>
                <w:szCs w:val="24"/>
              </w:rPr>
              <w:t xml:space="preserve">NIST SP 800-53 Rev. 5: AC-3, AC-16, MP-3, RA-2</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2026-06-01</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2026-06-01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68a5d3197f6fe6a60b4107c995a4f96b0943de.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0368a5d3197f6fe6a60b4107c995a4f96b0943de.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2026-06-04T20:32:00.458Z</dcterms:created>
  <dcterms:modified xsi:type="dcterms:W3CDTF">2026-06-04T20:32:00.460Z</dcterms:modified>
  <dc:title xmlns:dc="http://purl.org/dc/elements/1.1/">Data Labeling Procedures - EXAMPLE - S</dc:title>
</cp:coreProperties>
</file>

<file path=docProps/custom.xml><?xml version="1.0" encoding="utf-8"?>
<Properties xmlns="http://schemas.openxmlformats.org/officeDocument/2006/custom-properties" xmlns:vt="http://schemas.openxmlformats.org/officeDocument/2006/docPropsVTypes"/>
</file>