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Network Monitoring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Tri-River Regional 911 Center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Dr. Lisa Park,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2027-01-20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   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sets how the Agency monitors its network for threats and enforces safe traffic controls: what is watched, what raises an alert, who responds, and a baseline posture of default-deny with rate limiting at the edge. It states requirements; other artifacts hold the configured rules and the incident response.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Applies to: all Agency network infrastructure, the traffic crossing it, and the personnel and vendors who monitor or administer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Covers: traffic monitoring and alerting, default-deny boundaries, rate limiting and traffic shaping (including denial-of-service and resource-exhaustion defenses and their testing), IDS/IPS use, and control of device-to-device connections.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Excludes: the as-built firewall and IDS/IPS configurations, held in the Firewall Ruleset Documentation and the IDS/IPS Configuration Records; and denial-of-service response and continuity, held in the TDoS / DoS Response Procedure.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Alert: a monitored event or pattern the Agency has defined as warranting review or response.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Default-deny: a posture that blocks all traffic unless a rule explicitly allows it.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Rate limiting: capping the volume or rate of traffic to blunt denial-of-service and resource-exhaustion attacks.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Agency shall monitor network traffic at its boundaries and key internal points for signs of intrusion, misuse, and abnormal volume.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Network boundaries shall operate default-deny: traffic is blocked unless a rule explicitly permits it, and policy violations are logged and reviewed.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Agency shall define what constitutes an alert, who is notified, and the expected response time, and shall route alerts to the Alert Triage &amp; Escalation Procedure.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Rate limiting and traffic shaping shall be applied at key ingress and egress points to defend against denial-of-service and resource-exhaustion attacks, and these defenses shall be tested on a defined cadence, with results recorded and deficiencies tracked.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Intrusion detection and prevention shall be used and kept current; its configuration is documented in the IDS/IPS Configuration Records.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Direct device-to-device connections shall be disabled or tightly managed, logged, and validated to prevent unauthorized data exchange.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Denial-of-service response and service continuity are handled under the TDoS / DoS Response Procedure.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Owns this policy, sets alert definitions and notification paths, and approves exceptions.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Configures monitoring, default-deny boundaries, rate limiting, and IDS/IPS, and records the as-built state.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Reviews alerts, tunes thresholds, and escalates confirmed threats.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Report unusual network behavior and do not bypass network controls.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Director monitors compliance. Traffic controls that are disabled or bypassed are restored, and repeated violations are handled under the Agency's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Exceptions require written approval from the Director, must state the control affected and a compensating measure, and expire after one year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is reviewed at least annually and after any significant change to the network, by the Information Security Analyst.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A security team monitors traffic continuously through IDS/IPS and a SIEM, enforces default-deny and rate limiting at every boundary, and runs scheduled denial-of-service tests with recorded results.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>Source Authority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NENA-STA-040.2-2024: §5.6.4 (Intrusion Monitoring and Detection)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NIST SP 800-53 Rev. 5: AC-4, SC-5, SC-7, SI-4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Network Monitoring Policy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