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Security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Dr. Lisa Park,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2026-01-20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2027-01-20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 team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tc>
      </w:tr>
    </w:tbl>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security configuration of the Agency's DNS: separation of authoritative and recursive services, DNSSEC or encrypted DNS, the secure configuration baseline, authentication for DNS administrators, and DNS query and change logging. It pairs with the DNS Filtering Policy; DNS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DNS across both centers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two data centers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AST-108</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separation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services on distinct subnets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Distinct hosts / subnets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 protocol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DNSSEC signing and validation; DoT enforced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Enforced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Secure baseline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Automated baseline with drift alerts; input validation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 baseline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authentication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MFA from a jump host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See MFA Implementation Record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 and change 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 and change logs fed to the SIEM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SIEM</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Encrypted DNS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DoT enforced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secure baseline at least quarterly by the IT team; configuration changes run through the Change Management Policy and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services are separated, DNSSEC and encrypted DNS are enforced, the baseline is automated with drift alerts, admin access uses MFA from a jump host, and DNS logs feed the SIEM.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SC-20, SC-21, SC-22, AU-12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DNS Security Configuration Record - EXAMPLE - L</dc:title>
</cp:coreProperties>
</file>

<file path=docProps/custom.xml><?xml version="1.0" encoding="utf-8"?>
<Properties xmlns="http://schemas.openxmlformats.org/officeDocument/2006/custom-properties" xmlns:vt="http://schemas.openxmlformats.org/officeDocument/2006/docPropsVTypes"/>
</file>